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projekta vadības personāla atlīdzības izmaksas, kas radušās uz darba līguma, rīkojuma vai uzņēmuma (pakalpojuma) līguma pamata, tai skaitā valsts sociālās apdrošināšanas obligātās iemaksas no apliekamajām attiecināmajām izmaksām, nepārsniedzot 5 %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projekta vadības un īstenošanas personāla atalgojuma jautājumu, kā arī virzītu VAS "Valsts nekustamie īpašumi" uz Eiropas Savienības Atveseļošanas un noturības mehānisma plāna 1.2. reformu un investīciju virziena “Energoefektivitātes uzlabošana” 1.2.1.4.i. investīcijas “Energoefektivitātes uzlabošana valsts sektora ēkās, t. sk. vēsturiskajās ēkās” līgumu par projektu īstenošanu parakstīšanu, kas ļautu sekmīgi ieviest programmu un sasniegt sākotnēji plānotos rezultātus, grozījumos lūdzam paredzēt, ka projekta vadības personāla atlīdzības izmaksas, kas radušās uz darba līguma, rīkojuma vai uzņēmuma (pakalpojuma) līguma pamata, tai skaitā valsts sociālās apdrošināšanas obligātās iemaksas no apliekamajām attiecināmajām izmaksām, var būt lielākas par 5 procentiem, piemērojot vienoto likmi 7 procentu apmērā no šo noteikumu 30. punktā minētajām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kvalitatīvu projektu vadības un koordinācijas procesu nodrošināšanai nepieciešama atbilstoša cilvēkresursu un administratīvā kapacitāte, kā rezultātā papildu projekta vadības izmaksām, projekta īstenošanā rodas netiešās attiecināmās izmaksas, kas nav tieši saistītas ar projekta rezultātu sasniegšanu, bet atbalsta un nodrošina atbilstošus apstākļus projekta veicamo darbību realizācijai un projekta rezultātu sasniegšanai. Piemēram, Finansējuma saņēmēja projekta vadības un projekta īstenošanas personāla administratīvās izmaksas, kas paredzētas iestādes ikdienas darbības nodrošināšanai – izmaksas, kuras nepieciešamas, lai organizācija varētu darboties un kuras nav tieši saistītas ar projekta īstenošanu, piemēram, telpu īre un iekārtu izmantošanas izmaksas, kancelejas preces, komunālie un sakaru maksājumi, iestādes vadības un atbalsta struktūrvienību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personāla atlīdzības izmaksas, kas radušās uz darba līguma, rīkojuma vai uzņēmuma (pakalpojuma) līguma pamata, tai skaitā valsts sociālās apdrošināšanas obligātās iemaksas no apliekamajām attiecināmajām izmaksām, nepārsniedzot 7 %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Zubova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19.04.2024.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19.04.2024.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Atzinumi_24-TA-831.docx</dc:title>
</cp:coreProperties>
</file>

<file path=docProps/custom.xml><?xml version="1.0" encoding="utf-8"?>
<Properties xmlns="http://schemas.openxmlformats.org/officeDocument/2006/custom-properties" xmlns:vt="http://schemas.openxmlformats.org/officeDocument/2006/docPropsVTypes"/>
</file>