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29. maija noteikumos Nr. 299 "Noteikumi par meklēšanu un glābšanu jūrā Jūras meklēšanas un glābšanas koordinācijas centra (MRCC) atbildības rajonā jūras un aviācijas nelaimes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noslēdz starpresoru vienošanos par operatīvo rīcības plānu ar Valsts ugunsdzēsības un glābšanas dienestu, Valsts policiju, Valsts robežsardzi,  valsts aģentūru “Civilās aviācijas aģentūra”, valsts sabiedrību ar ierobežotu atbildību “Latvijas Jūras administrācija” un Neatliekamās medicīniskās palīdzības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1.punktu paredzēts izteikt Ministru kabineta 2018.gada 29.maija noteikumu Nr.299 “Noteikumi par meklēšanu un glābšanu jūrā Jūras meklēšanas un glābšanas koordinācijas centra (MRCC) atbildības rajonā jūras un aviācijas nelaimes gadījumā” (turpmāk – Noteikumi Nr.299) 4.punktu jaunā redakcijā, paredzot, ka Nacionālie bruņotie spēki noslēdz starpresoru vienošanos par operatīvo rīcības plānu ar Valsts ugunsdzēsības un glābšanas dienestu, Valsts policiju, Valsts robežsardzi, valsts aģentūru “Civilās aviācijas aģentūra”, valsts sabiedrību ar ierobežotu atbildību “Latvijas Jūras administrācija” un Neatliekamās medicīniskās palīdzības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Nr.299 3.punkts noteic, ka Koordinācijas centrs (MRCC) sadarbībā ar šo Noteikumu Nr.299 17.punktā minētajām institūcijām vada un koordinē cilvēku meklēšanas un glābšanas operācijas Koordinācijas centra (MRCC) atbildības rajonā saskaņā ar šiem Noteikumiem Nr.299 un operatīvās rīcības plānu. No kā secināms, ka Noteikumos Nr.299 ir ietverts tiesiskais regulējums, kas nosaka operatīvā rīcības plāna saturu un saskaņošanu, kā arī institūcijas, ar kurām sadarbojas Koordinācijas centrs (MRCC) meklēšanas un glābšanas darbos jūras un aviācijas nelaime</w:t>
            </w:r>
            <w:r w:rsidR="00000000" w:rsidRPr="00000000" w:rsidDel="00000000">
              <w:rPr>
                <w:i w:val="1"/>
                <w:rtl w:val="0"/>
              </w:rPr>
              <w:t xml:space="preserve">s </w:t>
            </w:r>
            <w:r w:rsidR="00000000" w:rsidRPr="00000000" w:rsidDel="00000000">
              <w:rPr>
                <w:rtl w:val="0"/>
              </w:rPr>
              <w:t xml:space="preserve">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kāds ir starpresoru vienošanās slēgšanas mērķis un kāds varētu būt regulējums, kas tajā tiktu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 Valsts pārvaldes iekārtas likuma 54.panta pirmās un ceturtās daļas izriet, ka starpresoru vienošanos slēdz, lai panāktu vismaz vienas iestādes kompetencē ietilpstoša pārvaldes uzdevuma efektīvāku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starpresoru vienošanās 1.punktā norāda iestādes (iestāžu) funkciju (funkcijas), kuras (kuru) efektīvākai izpildei ir nepieciešams slēgt attiecīgo starpresoru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projekta 1.punktā ietverto Noteikumu Nr.299 4.punktu, paredzot, ka MRCC Koordinācijas centra (MRCC) izstrādāto operatīvās rīcības plānu saskaņo ar iesaistītajām iestādēm, piemēram, Valsts ugunsdzēsības un glābšanas dienestu, Valsts policiju, Valsts robežsardzi un Neatliekamās medicīniskās palīdzības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nepieciešamības gadījumā pilnveidojot Noteikumos Nr.299 ietverto operatīvās rīcības plāna saskaņošanas tiesisko regulējumu,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projekta anotāciju, norādot starpresoru vienošanās slēgšanas mērķi, kā arī norādot tajā ietveramo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24-TA-1921</w:t>
    </w:r>
    <w:r>
      <w:br/>
    </w:r>
    <w:r w:rsidR="00000000" w:rsidRPr="00000000" w:rsidDel="00000000">
      <w:rPr>
        <w:rtl w:val="0"/>
      </w:rPr>
      <w:t xml:space="preserve">Izdrukāts 27.08.2024. 08.04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24-TA-1921</w:t>
    </w:r>
    <w:r>
      <w:br/>
    </w:r>
    <w:r w:rsidR="00000000" w:rsidRPr="00000000" w:rsidDel="00000000">
      <w:rPr>
        <w:rtl w:val="0"/>
      </w:rPr>
      <w:t xml:space="preserve">Izdrukāts 27.08.2024. 08.04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Atzinumi_24-TA-1921.docx</dc:title>
</cp:coreProperties>
</file>

<file path=docProps/custom.xml><?xml version="1.0" encoding="utf-8"?>
<Properties xmlns="http://schemas.openxmlformats.org/officeDocument/2006/custom-properties" xmlns:vt="http://schemas.openxmlformats.org/officeDocument/2006/docPropsVTypes"/>
</file>