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1.1.1.3. pasākuma “Praktiskas ievirzes pētījumi”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finansējumu ar saimniecisku darbību saistītu projektu īstenošanai piešķir saskaņā ar Komisijas regulas Nr. 651/2014 25. un 28. pantu, kas tiek piemērots tādiem atbalsta saņēmējiem, kas atbilst sīkā (mikro), mazā, vidējā vai lielā saimnieciskās darbības veicēja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3.punktu, ietverot korektas atsauces uz subjektiem, kuriem ir piemērojams Komisijas regulas Nr.651/2014 25.pants un uz kuriem subjektiem ir attiecināms Komisijas regulas Nr.651/2014 28.pants. Vēršam uzmanību, ka atbalsts saskaņā ar Komisijas regulas Nr.651/2014 28.pantu ir piešķirams tikai sīkajiem (mikro), mazajiem vai vidējiem saimnieciskās darbības veicējiem, savukārt atbalsts saskaņā ar Komisijas regulas Nr.651/2014 25.pantu ir piešķirams arī lielajiem saimnieciskās darbības veicējiem.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projekta ietvaros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22.3. </w:t>
            </w:r>
            <w:r w:rsidR="00000000" w:rsidRPr="00000000" w:rsidDel="00000000">
              <w:rPr>
                <w:rtl w:val="0"/>
              </w:rPr>
              <w:t xml:space="preserve">apakšpunktā</w:t>
            </w:r>
            <w:r w:rsidR="00000000" w:rsidRPr="00000000" w:rsidDel="00000000">
              <w:rPr>
                <w:rtl w:val="0"/>
              </w:rPr>
              <w:t xml:space="preserve"> minētajā gadījumā nodrošina šādu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23.punkta nosacījumus programmas autors ir nolēmis attiecināt arī uz ar saimniecisku darbību nesaistītiem projektiem, vēršam uzmanību, ka šajā punktā ietvertie nosacījumi neatbilst noteikumu projekta 2.1.punktā noteiktajam - projektu īsteno pētniecības organizācija un projekta ietvaros tiek īstenotas darbības, kurām nav saimnieciska rakstura. Attiecīgi lūdzam nodalīt nosacījumus, kas uz ar saimniecisku darbību nesaistītiem projektiem no nosacījumiem, kas attiecas uz ar saimniecisku darbību saistītiem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ja sadarbības projektu īsteno sadarbības partneri – saimnieciskās darbības veicējs un pētniecības organizācija – ir izpildīts viens no šādiem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sadarbības projektam ir jāatbilst Komisijas paziņojuma "Pētniecībai, izstrādei un inovācijai piešķiramā valsts atbalsta nostādnes "(2022/C 414/01) (turpmāk - Pētniecības nostādnes) 16.punkta h) apakšpunktam, lai to uzskatītu par tādu, kas atbilst patiesai sadarbībai. Vienlaikus Pētniecības nostādņu 39.zemsvītras atsauce nosaka, ka "pētniecības un izstrādes pakalpojumu sniegšana un pētniecība un izstrāde, ko veic uzņēmumu uzdevumā, netiek uzskatīta par neatkarīgu pētniecību un izstrādi". Attiecīgi aicinām atbilstoši precizēt noteikumu projekta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labuma guvējs var atsavināt vai piešķirt izmantošanas tiesības pilnā apmērā vai daļēji uz konkrētā labuma guvēja projekta daļas ietvaros radīto intelektuālo īpašumu citam sadarbības partnerim, atbilstoši Komisijas regulas 651/2014 2.panta  90.punktā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regulas Nr.651/2014 2.panta 90.punktā minētā definīcija atsavināšanas vai projekta daļas ietvaros radītā intelektuālā īpašuma nodošanu citam sadarbības partnerim neparedz. Attiecīgi aicinām šo noteikumu projekta punktu precizēt atbilstoši Komisijas regulas Nr.651/2014 2.panta 90.punktā noteiktajam vai arī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attiecināmās izmaksas plāno kā vienu izmaksu pozīciju, piemērojot vienoto likmi 40 procentu apmērā no šo noteikumu </w:t>
            </w:r>
            <w:r w:rsidR="00000000" w:rsidRPr="00000000" w:rsidDel="00000000">
              <w:rPr>
                <w:rtl w:val="0"/>
              </w:rPr>
              <w:t xml:space="preserve">33.1. </w:t>
            </w:r>
            <w:r w:rsidR="00000000" w:rsidRPr="00000000" w:rsidDel="00000000">
              <w:rPr>
                <w:rtl w:val="0"/>
              </w:rPr>
              <w:t xml:space="preserve">apakšpunktā</w:t>
            </w:r>
            <w:r w:rsidR="00000000" w:rsidRPr="00000000" w:rsidDel="00000000">
              <w:rPr>
                <w:rtl w:val="0"/>
              </w:rPr>
              <w:t xml:space="preserve"> minētām tiešajām attiecināmajām personāla izmaksām ar saimniecisku darbību nesaistītam projektam,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no noteikumu projekta ir izņemts nosacījums par to, ka projektiem ar saimniecisko darbību netiks piemērota 40% vienotā likme pārējām izmaksām? Lūdzam skaidrot, kā šajā gadījumā tiks nodrošināta vienāda pieeja vienādu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36.1.2. pēc projekta iesnieguma iesniegšanas sadarbības iestādē, ja īsteno ar saimniecisku darbību saistītu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sniedzot atbalstu ar Komisijas regulu Nr.651/2014, ir jānodrošina tas, ka nevis izmaksas ir attiecināmas pēc projekta iesniegšanas sadarbības iestādē, bet gan tas, ka darbības tiek uzsāktas pēc tam, kad projekta pieteikums, kurš atbilst Komisijas regulas Nr.651/2014 6.panta 2.punktā noteiktajam, ir iesniegts atbalsta sniedzējam. Ja darbi pie projekta uzsākti pirms projekta iesniegšanas atbalsta sniedzējam, viss projekts ir noraidāms. Attiecīgi lūdzam precizēt noteikumu projekta 36.punktu, attiecinot to tikai uz ar saimniecisku darbību nesaistītiem projektiem, dzēšot 36.1.2.punktu, jo nosacījumi par stimulējošo ietekmi ar saimniecisko darbību saistītiem projektiem jau ir noteikti noteikumu projekta 40.2.punktā.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Publiskā finansējuma apmēra un vidējās svērtās publiskā finansējuma atbalsta intensitātes noteikšana šo noteikumu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minētajos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šī pasākuma ietvaros nav paredzēti projekti, kuros ir iespējams apvienot gan ar saimniecisku darbību saistītas darbības, gan nesaimnieciskas darbības, tad lūdzam izvērtēt, vai nosacījumu par vidējās svērtās publiskā finansējuma atbalsta intensitātes aprēķinu ir nepieciešams iekļaut noteikumu projektā. Vēršam uzmanību, ka komercdarbības atbalsta gadījumā ir jānodrošina tas, ka tiek ievērota konkrētai pētniecības kategorijai noteiktā intensitāte.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Pasākuma ietvaros īstenojot ar saimniecisku darbību nesaistītus projektus finansē tāda jauna produkta vai tehnoloģijas prototipa vai cita eksperimentālā objekta izstrādi, kurš tiks izmantots turpmākos pētījumos, bet nebūs tieši izmantojams ienākumu gūšanai, to pārdodot vai izmantojot ražošanā vai pakalpojumu sniegšanā. Ienākumus, kas gūti no prototipu vai citu eksperimentālo objektu komerciālas izmantošanas, atskaita no attiecināmajām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neatkarīgi no tā, vai tiek vai netiek gūti ienākumi, ja pētījuma rezultāts tālāk tiek izmantots saimnieciskajai darbībai, kas var ietvert arī ienākumu gūšanu, to nevar uzskatīt par ar saimniecisku darbību nesasaistītu. Attiecīgi lūdzam precizēt noteikumu projekta 42.punktu, paredzot, ka šādos gadījumos tiek piemērots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atbalsta programmas izstrādātājs tomēr uzskata, ka šie projekti nebūs ar saimniecisku darbību saistīti, lūdzam par to sniegt anotācijā sniegt atbilstošu skaidrojumu, tostarp skaidrojot, kā tas atbilst Pētniecības nostādņu 20.punktam.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nodrošina projekta īstenošanas finanšu plūsmas skaidru nodalīšanu no citām finansējuma saņēmēja un labuma guvēja darbības finanšu plūsmām projekta īstenošanas laikā un projekta infrastruktūras amortizācijas periodā, ja finansējuma saņēmējs un labuma guvējs atbilst saimnieciskās darbības veicēja definīcijai vai pētniecības organizācijas definīcijai;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atbalsta pasākuma ietvaros atbalsts infrastruktūrai kā tādai paredzēts netiek. Attiecīgi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piebilde "ja finansējuma saņēmējs un labuma guvējs atbilst saimnieciskās darbības veicēja definīcijai vai pētniecības organizācijas definīcijai" ir lieka, jo aktivitātes ietvaros tiek atbalstītas gan pētniecības organizācijas, gan saimnieciskās darbības veicēji, attiecīgi noteikumu projekta nosacījumi ir attiecināmi uz abiem.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Finansējuma saņēmējs nodrošina informācijas publicēšanu atbilstoši Komisijas regulas Nr. 651/2014 9. panta 1. un 4.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76.punktu, jo, skaidrojam, ka saskaņā ar Komisijas regulu Nr.651/2014 pienākums nodrošināt Komisijas regulas Nr.651/2014 9.panta 1.un 4.punktā minēto par atbalsta pārredzamību ir atbalsta sniedzējam, nevis atbalsta saņēmējam.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informāciju par atbalsta programmas izstrādātāja plānoto īstenošanas laiku un pēcuzraudzības periodu, lūdzam izziņas 147.punktā Izglītības un zinātnes ministrijas sniegto skaidrojumu iekļaut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Nacionālie rādītaji: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MKN projekta 7.4.2., 7.4.4. un 7.4.5. apakšpunktiem, vēršam uzmanību, ka RIS3 rādītāju sarakstā, kas ir saskaņots starp IZM un EM ir iekļauti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patents un  patentu pieteikumi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radītie rūpnieciskā īpašuma objekti- licences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jaunradītie produkti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ar nacionālajiem rādītājiem nedublēt jau pieejamos RIS3 rādītājus un izvērtēt nepieciešamību ar tiem papildināt MKN 8.punktu. Vēršam uzmanību, ka līdzīgu dublējošos rādītāju noteikšana palielinās finansējuma saņēmējam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Pirmajā un otrajā iesniegumu atlases kārtā viena projekta maksimālais publiskā finansējuma apmērs ir 600 000 </w:t>
            </w:r>
            <w:r w:rsidR="00000000" w:rsidRPr="00000000" w:rsidDel="00000000">
              <w:rPr>
                <w:i w:val="1"/>
                <w:rtl w:val="0"/>
              </w:rPr>
              <w:t xml:space="preserve">euro</w:t>
            </w:r>
            <w:r w:rsidR="00000000" w:rsidRPr="00000000" w:rsidDel="00000000">
              <w:rPr>
                <w:rtl w:val="0"/>
              </w:rPr>
              <w:t xml:space="preserve">, minimālais finansējuma apmērs ir 30 000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projektu kopējās projekta izmaksas var būt mazākas par 200 000 EUR, kas automātiski nozīmētu, ka šajā pasākumā visiem projektiem obligāti būtu jāpiemēro vienkāršotās izmaksas visām darbībām atbilstoši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53.panta 2.punkta nosacījumiem. Ņemot vērā, ka ir plānots šajos projektos piemērot vienoto likmi 40% apmērā, lai segtu projekta pārējās izmaksas, tad saskaņā minētās regulas skaidrojumu, ja izmanto vienotās likmes finansējumu, izmaksu pozīcijas, kurām piemēro vienoto likmi, var atlīdzināt saskaņā ar regulas Nr. 2021/1060 53.panta 1. punkta a) apakšpunktu (kā faktiskās izmaksas), attiecīgi nodrošinot regulas Nr.2012/1060 53.panta 2.punkta nosacījumu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 šo skaidrojumu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pārējas izmaksas, kas ir tieši saistītas ar projekta īstenošanu un nepieciešamas rezultātu sasniegšanai un kas nav tieši saistītas ar projekta rezultātu sasniegšanu, bet atbalsta un nodrošina atbilstošus apstākļus atbalstāmo darbību īstenošanai un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ar saimniecisku darbību nesaistīta projekta attiecināmo izmaksu uzskaitījumu papildināt ar tehnoloģiju tiesību aizsardzības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33.2.5. vērtības nodoklis ir attiecināmās izmaksas,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"pievienotās" apakšpunkta 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33.2.5. pievienotās vērtības nodoklis ir attiecināmās izmaksas, ja tas nav atgūstams atbilstoši normatīvajiem aktiem nodokļu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Ar saimniecisku darbību nesaistītam projektam šo noteikumu </w:t>
            </w:r>
            <w:r w:rsidR="00000000" w:rsidRPr="00000000" w:rsidDel="00000000">
              <w:rPr>
                <w:rtl w:val="0"/>
              </w:rPr>
              <w:t xml:space="preserve">33.2. </w:t>
            </w:r>
            <w:r w:rsidR="00000000" w:rsidRPr="00000000" w:rsidDel="00000000">
              <w:rPr>
                <w:rtl w:val="0"/>
              </w:rPr>
              <w:t xml:space="preserve">apakšpunktā</w:t>
            </w:r>
            <w:r w:rsidR="00000000" w:rsidRPr="00000000" w:rsidDel="00000000">
              <w:rPr>
                <w:rtl w:val="0"/>
              </w:rPr>
              <w:t xml:space="preserve"> minētās attiecināmās izmaksas plāno kā vienu izmaksu pozīciju, piemērojot vienoto likmi 40 procentu apmērā no šo noteikumu </w:t>
            </w:r>
            <w:r w:rsidR="00000000" w:rsidRPr="00000000" w:rsidDel="00000000">
              <w:rPr>
                <w:rtl w:val="0"/>
              </w:rPr>
              <w:t xml:space="preserve">33.1. </w:t>
            </w:r>
            <w:r w:rsidR="00000000" w:rsidRPr="00000000" w:rsidDel="00000000">
              <w:rPr>
                <w:rtl w:val="0"/>
              </w:rPr>
              <w:t xml:space="preserve">apakšpunktā</w:t>
            </w:r>
            <w:r w:rsidR="00000000" w:rsidRPr="00000000" w:rsidDel="00000000">
              <w:rPr>
                <w:rtl w:val="0"/>
              </w:rPr>
              <w:t xml:space="preserve"> minētām tiešajām attiecināmajām personāla izmaksām ar saimniecisku darbību nesaistītam projektam, saskaņā ar Parlamenta un Padomes Regulas Nr.2021/1060 56.panta 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34.punktu, kas paredz vienotās likmes ieviešanu pasākumā ar saimniecisku darbību nesaistītiem projektiem, aicinām Finanšu ministriju un Izglītības un zinātnes ministriju uz tikšanos, lai kopīgi pārrunātu iespējas piemērot vienoto likmi ar saimniecisku darbību saistītiem projektiem. Papildus vēršam uzmanību, ka pēc esošās noteikumu projekta redakcijas, sadarbības iestādei nebūs iespējams pārbaudīt noteikumu projekta 23.6., 32.2.1., 32.2.3., 38.1.2. apakšpunktos noteiktos finansējuma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Uz projektu, kas saistīts ar saimniecisku darbību, attiecināmas ir Komisijas regulas Nr. 651/2014 25. panta 3. punkta "a", "b", "d" un "e" apakšpunktā noteiktās pētniecības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attiecināmo izmaksu uzskaitījumu papildināt ar tehnoloģiju tiesību aizsardzības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projektu, kas saistīts ar saimniecisku darbību, attiecināmas ir Komisijas regulas Nr. 651/2014 25. panta 3. punkta "a", "b", "d" un "e" apakšpunktā noteiktās pētniecības izmaksas un 28. panta 2. punkta "a" apakšpunktā minētās izmaksas (tikai šo noteikumu 49.1. apakšpunktā noteiktajam labuma guvējam).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Pasākuma ietvaros īstenojot ar saimniecisku darbību nesaistītus projektus finansē tāda jauna produkta vai tehnoloģijas prototipa vai cita eksperimentālā objekta izstrādi, kurš tiks izmantots turpmākos pētījumos, bet nebūs tieši izmantojams ienākumu gūšanai, to pārdodot vai izmantojot ražošanā vai pakalpojumu sniegšanā. Ienākumus, kas gūti no prototipu vai citu eksperimentālo objektu komerciālas izmantošanas, atskaita no attiecināmajām projekta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42. un 43.punktā izmantot vārda “ienākumi” vietā vārdu “ieņēmumi”, lai veidotu vienādu izpratni, ņemot vērā to, ka gan regulās, gan citos normatīvos aktos tiek izmantots vārds “ieņēmumi”.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Pasākuma ietvaros īstenojot ar saimniecisku darbību nesaistītus projektus finansē tāda jauna produkta vai tehnoloģijas prototipa vai cita eksperimentālā objekta izstrādi, kurš tiks izmantots turpmākos pētījumos, bet nebūs tieši izmantojams ieņēmumu gūšanai, to pārdodot vai izmantojot ražošanā vai pakalpojumu sniegšanā. Ieņēmumus, kas gūti no prototipu vai citu eksperimentālo objektu komerciālas izmantošanas, atskaita no attiecināmajām projekta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Ar saimniecisku darbību nesaistītos projektos izstrādāto produktu, procesu vai pakalpojumu eksperimentālu ražošanu vai testēšanu ražošanas apstākļos finansē tikai tad, ja tas nepieciešams pētniecības rezultātu apstiprināšanai un pārbaudei un tos tieši vai pārveidojot neizmantos ieņēmumu gūšanai, pārdodot vai izmantojot ražošanā vai pakalpojumu 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Finansējuma saņēmējam ir pienākums līdz projekta iesnieguma iesniegšanai izstrādāt iekšējās kontroles sistēmu korupcijas un interešu konflikta riska novēršanai publiskas personas institūcijā atbilstoši Ministru kabineta 2017. gada 17. oktobra noteikumu Nr. 630 “Noteikumi par iekšējās kontroles sistēmas pamatprasībām korupcijas un interešu konflikta riska novēršanai publiskas personas institūcijā” prasībām, kas ietver arī: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58. punkta nosacījums par iekšējās kontroles sistēmas izstrādi korupcijas un interešu konflikta riska novēršanai attiecināms uz projektiem, kurus plānots īstenot kā daudzpakāpju (1.1.1.3. pasākuma projektu ieviešanas shēma to neparedz), kā arī to, ka Ministru kabineta 2017. gada 17. oktobra noteikumi Nr. 630 “Noteikumi par iekšējās kontroles sistēmas pamatprasībām korupcijas un interešu konflikta riska novēršanai publiskas personas institūcijā” nav attiecināmi uz privātpersonām, kas ir plānotie finansējuma saņēmēji, lūdzam dzēst noteikumu projekta 58. punktu. Vēršam uzmanību, ka Finanšu ministrijas izteiktais komentārs 01.02.2024 atzinumā (Nr. 184), uz kā pamata noteikumu projekts ir papildināts ar 58.punktu, ir vērsts uz interešu konflikta nosacījumu paplašināšanu, nevis iekšējās kontroles sistēmas izstrādi (kas ir specifiski jāparedz daudzpakāpju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Zinātniskās institūcijas &lt; nosaukums&gt; apgrozījuma pārskats par 20__.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netiek pieminēta noteikumu projekta 1. pielikumā pievienotā apgrozījuma pārskata iesniegšana. Aicinām izvērtēt pielikuma aktualitāti un anotācijā skaidrot tā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prasība "</w:t>
            </w:r>
            <w:r w:rsidR="00000000" w:rsidRPr="00000000" w:rsidDel="00000000">
              <w:rPr>
                <w:i w:val="1"/>
                <w:rtl w:val="0"/>
              </w:rPr>
              <w:t xml:space="preserve">1.1.1.3. pasākuma ietvaros ir definētas arī prasības projekta iesniedzējam un sadarbības partneri, kas jāievēro īstenojot pētniecības projektus 1.1.1.3. pasākuma ietvaros. Tai skaitā paredzot, ka finansējuma saņēmējs un sadarbības partneris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kā arī paraksta interešu konflikta neesamības apliecinājumu, kurā obligāti ietver atsauci uz Regulas 2018/1046 61. pantu.</w:t>
            </w:r>
            <w:r w:rsidR="00000000" w:rsidRPr="00000000" w:rsidDel="00000000">
              <w:rPr>
                <w:rtl w:val="0"/>
              </w:rPr>
              <w:t xml:space="preserve">" attiecināma uz šo pasākumu, ja to nav plānots īstenot kā daudzpakāpju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Līvija Rumbeniece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anotācijas 1.3.sadaļas ietverto rindkopu "Vienotās likmes 40 % apmērā piemērošana pārējo izmaksu segšanai balstīta uz 2014. - 2020.gada plānošanas perioda ietvaros īstenotā 1.1.1.1.pasākuma "Praktiskās ievirzes pētījumi" pieredzē, kur projekta izmaksu lielāko daļu veidoja personāla atlīdzības izmaksas.",  lūgums papildināt anotāciju, ietverot informāciju par vismaz galvenajām izmaksām, ko paredzēts segt no vienotās likmes un aprakstīt, vai nepastāv dubultā finansējuma risks attiecībā uz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redakciju, ņemot vērā, ka ar vienoto likmi tiks segtas projekta pārējās izmaksas, nevis , ka "pārējās izmaksas veidojas no vienotās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"1.1.1.3.pasākumā paredzēts,  ka pārējās attiecināmās izmaksas, izņemot tiešās attiecināmās personāla izmaksas, tiks segtas izmantojot vienoto likmi 40 % apmērā no tiešajām attiecināmajām personāla izmaksām, saskaņā ar Eiropas Parlamenta un Padomes 2021.gada 24.jūnija Regulas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56.panta 1.punktu."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jau 2024.gada marts, lūdzam precizēt anotācijas 3.sadaļu "Tiesību akta projekta ietekme uz valsts budžetu un pašvaldību budžetiem" un kā kārtējo gadu norādīt 2024.gadu.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28.03.2024. 21.26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23-TA-611</w:t>
    </w:r>
    <w:r>
      <w:br/>
    </w:r>
    <w:r w:rsidR="00000000" w:rsidRPr="00000000" w:rsidDel="00000000">
      <w:rPr>
        <w:rtl w:val="0"/>
      </w:rPr>
      <w:t xml:space="preserve">Izdrukāts 28.03.2024. 21.26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Atzinumi_23-TA-611.docx</dc:title>
</cp:coreProperties>
</file>

<file path=docProps/custom.xml><?xml version="1.0" encoding="utf-8"?>
<Properties xmlns="http://schemas.openxmlformats.org/officeDocument/2006/custom-properties" xmlns:vt="http://schemas.openxmlformats.org/officeDocument/2006/docPropsVTypes"/>
</file>