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datus, tostarp par sporta tiesnešiem, sporta treneriem un sportistiem (arī bērniem un jauniešiem) ar mērķi identificēt minēto personu sasniegumus, sportiskos rezultātus un veselības aprūpes pakalpojumu nepieciešamību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"Sporta likums" (turpmāk – likumprojekts), norādot, kādas tieši personas datu kategorijas plānots apstrādāt reģistrā, piemēram, reģistrā par sporta tiesnešiem tiks apstrādāti to identifikācijas dati, kontaktinformācija, reģistrā par sportistiem tiks apstrādāti to identifikācijas dati, informācija par sacensībām un piedalīšanās rezultātiem. Paskaidrojam, ka likumprojekts paredz personas tiesību uz personas datu aizsardzību ierobežojumu, un tikai likumdevējs ir tiesīgs izvērtēt iejaukšanās personas pamattiesībās nepieciešamību un šā ierobežojuma apjomu. Tādēļ vismaz likuma līmenī ir nosakāms personas datu apstrādes reģistrā nolūks un apstrādājamo personas datu apjoms - kādu datu subjektu un kādus datus plānots apstrādāt.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Lēmuma par sporta federācijas statusa atzīšanu, atteikumu to atzīt vai lēmuma par atzītās sporta federācijas statusa zaudēšanu apstrīdēšana vai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80. panta pirmā daļa noteic, ka </w:t>
            </w:r>
            <w:r w:rsidR="00000000" w:rsidRPr="00000000" w:rsidDel="00000000">
              <w:rPr>
                <w:u w:val="single"/>
                <w:rtl w:val="0"/>
              </w:rPr>
              <w:t xml:space="preserve">iesniegums par administratīvā akta apstrīdēšanu aptur tā darbību no dienas, kad iesniegums saņemts iestādē, izņemot gadījumus, kas paredzēti šā likuma 360. panta otrajā un trešajā daļā, kā arī gadījumos, kad iesniegumu iesniedzis labvēlīga administratīvā akta adresāts, lai panāktu vēl labvēlīgāka administratīvā akta izdošanu, vai ja iesniegums iesniegts par vispārīgo administratīvo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Administratīvā procesa likuma 185. panta pirmā daļa noteic, ka </w:t>
            </w:r>
            <w:r w:rsidR="00000000" w:rsidRPr="00000000" w:rsidDel="00000000">
              <w:rPr>
                <w:u w:val="single"/>
                <w:rtl w:val="0"/>
              </w:rPr>
              <w:t xml:space="preserve">pieteikuma iesniegšana tiesā par administratīvā akta atcelšanu, atzīšanu par spēku zaudējušu vai spēkā neesošu aptur administratīvā akta darbību no dienas, kad pieteikums saņemts tiesā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185. panta ceturtās daļas 8. un 10. punkts noteic, ka </w:t>
            </w:r>
            <w:r w:rsidR="00000000" w:rsidRPr="00000000" w:rsidDel="00000000">
              <w:rPr>
                <w:u w:val="single"/>
                <w:rtl w:val="0"/>
              </w:rPr>
              <w:t xml:space="preserve">šā panta pirmā daļa neattiecas uz gadījumiem, kad ar administratīvo aktu tiek atteikts nodibināt tiesiskas attiecības, kā arī administratīvais akts atceļ, anulē vai aptur speciālo atļauju (licenci, sertifikātu, akreditāciju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Administratīvā procesa likuma 3. panta pirmā un otrā daļa noteic, ka š</w:t>
            </w:r>
            <w:r w:rsidR="00000000" w:rsidRPr="00000000" w:rsidDel="00000000">
              <w:rPr>
                <w:u w:val="single"/>
                <w:rtl w:val="0"/>
              </w:rPr>
              <w:t xml:space="preserve">o likumu piemēro administratīvajā procesā iestādē, ciktāl citu likumu speciālajās tiesību normās nav noteikta cita kārtība. Savukārt 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likumprojektā ir nepieciešams paredzēt citādāku regulējumu nekā Administratīvā procesa likumā, likumprojekta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jāietver attiecīgs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likumprojekta 17. panta trešo daļu, nedublējot Administratīvā procesa likuma 185. panta ceturtās daļas 8. un 10. punktā paredzēto regulējumu, kā arī papildināt anotāciju ar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 un apstiprina ikgadējo dopinga kontroļu analīžu plānu un ikgadējo pārbaudāmo sportistu reģistru, kā arī ir tiesīgs veidot citus reģistrus, kas satur informāciju par sportistiem dopinga kontroļu plānošanas un veikšanas nolūkos, tai skaitā par sportistu atrašanās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Latvijas Antidopinga biroja tiesības veidot citus reģistrus un attiecīgi precizēt likumprojektu kopumā, ņemot vērā, ka šādu tiesību piešķiršanas izvērtējums nav atspoguļots anotācijā, nav skaidri noprotams, kāda veida reģistri tie varētu būt, vai tie varētu radīt ietekmi uz personas tiesībām uz personas datu aizsardzību. Papildus vēršam uzmanību, ka šādu tiesību piešķiršana varētu rezultēties ar sadrumstalotas un nepārskatāmas informācijas uzkrāšanu, ņemot vērā, ka tiek jau plānota Sporta reģistra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šā panta pirmajā daļā minētos iespējamos antidopinga noteikumu pārkāpumus, Disciplinārā antidopinga komisija veic personas datu, tai skaitā veselības datu, apstrādi atbilstoši personas datu aizsardzību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kopumā, skaidri nosakot, kādu kategoriju datus plānots apstrādāt, ja tas nav pietiekami skaidri saprotams no attiecīgās institūcijas funkcijām un uzdevumiem. Paskaidrojam, ka šāds formulējums, kas paredz veikt personas datu, tai skaitā veselības datu apstrādi, ir pārāk vispārīgs un neskaidrs, attiecīgi radot personas datu apstrādes neatbilstību tādiem personas datu apstrādes principiem kā likumīguma, godprātības un pārredzamības princips. Iebildums attiecināms uz likumprojektu kopumā, ņemot vērā, ka šāds formulējums attiecībā uz personas datu apstrādes veikšanu ir izmantots likumprojektā arī citviet.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sporta treneri vai sporta tiesnesi drīkst strādāt persona, kura nav sodīta par Krimināllikuma 212.</w:t>
            </w:r>
            <w:r w:rsidR="00000000" w:rsidRPr="00000000" w:rsidDel="00000000">
              <w:rPr>
                <w:vertAlign w:val="superscript"/>
                <w:rtl w:val="0"/>
              </w:rPr>
              <w:t xml:space="preserve">1</w:t>
            </w:r>
            <w:r w:rsidR="00000000" w:rsidRPr="00000000" w:rsidDel="00000000">
              <w:rPr>
                <w:rtl w:val="0"/>
              </w:rPr>
              <w:t xml:space="preserve"> pantā minēto noziedzīgo nodarījumu vai kura sodīta par šādiem noziegumiem, bet kurai 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atbilstoši Tieslietu ministrijas iepriekš sniegtajam iebildumam, vai ierobežojumi attiecībā uz sporta tiesnešiem un sporta treneriem, kuri strādā ar nepilngadīgajiem, būtu salāgojami ar Bērnu tiesību aizsardzības likuma 72. panta piektajā daļā paredzētajiem ierobežojumiem, anotācijā skaidrojot, ka, ja sporta tiesnesis vai sporta treneris strādā ar bērniem, tad uz viņu ir attiecināmas Bērnu tiesību aizsardzības likuma prasības, t.sk. šā likuma 72. panta piektajā daļā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tiesību normā neatsaukties uz konkrētu Krimināllikuma pantu (Krimināllikuma 212.</w:t>
            </w:r>
            <w:r w:rsidR="00000000" w:rsidRPr="00000000" w:rsidDel="00000000">
              <w:rPr>
                <w:vertAlign w:val="superscript"/>
                <w:rtl w:val="0"/>
              </w:rPr>
              <w:t xml:space="preserve">1</w:t>
            </w:r>
            <w:r w:rsidR="00000000" w:rsidRPr="00000000" w:rsidDel="00000000">
              <w:rPr>
                <w:rtl w:val="0"/>
              </w:rPr>
              <w:t xml:space="preserve"> pants), aizstājot to ar vispārīgu norādi uz noziedzīgiem nodarījumiem tautsaimniecībā saistībā ar sporta sacensībām (anotācijā kā piemēru norādot Krimināllikuma 212.</w:t>
            </w:r>
            <w:r w:rsidR="00000000" w:rsidRPr="00000000" w:rsidDel="00000000">
              <w:rPr>
                <w:vertAlign w:val="superscript"/>
                <w:rtl w:val="0"/>
              </w:rPr>
              <w:t xml:space="preserve">1</w:t>
            </w:r>
            <w:r w:rsidR="00000000" w:rsidRPr="00000000" w:rsidDel="00000000">
              <w:rPr>
                <w:rtl w:val="0"/>
              </w:rPr>
              <w:t xml:space="preserve"> pantu - manipulācijas ar sporta sacensībām).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Administratīvie pārkāpumi sporta jomā un kompetence administratīvo pārkāpumu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likumprojektu tiek paredzēti jauni administratīvie pārkāpumi sporta jomā. Taču nav izvērtēta administratīvās atbildības nepieciešamība un pieļaujamība, kā arī paredzētais regulējums neatbilst administratīvās atbildības regulējumam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(detalizētāk par katru kritēriju informācija ir jau sniegta Tieslietu ministrijas 2025. gada 10. jūnija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likumprojektā paredzētajos gadījumos, </w:t>
            </w:r>
            <w:r w:rsidR="00000000" w:rsidRPr="00000000" w:rsidDel="00000000">
              <w:rPr>
                <w:b w:val="1"/>
                <w:u w:val="single"/>
                <w:rtl w:val="0"/>
              </w:rPr>
              <w:t xml:space="preserve">anotācijā jāietver argumentēts visu</w:t>
            </w:r>
            <w:r w:rsidR="00000000" w:rsidRPr="00000000" w:rsidDel="00000000">
              <w:rPr>
                <w:rtl w:val="0"/>
              </w:rPr>
              <w:t xml:space="preserve"> iepriekš minēto </w:t>
            </w:r>
            <w:r w:rsidR="00000000" w:rsidRPr="00000000" w:rsidDel="00000000">
              <w:rPr>
                <w:b w:val="1"/>
                <w:u w:val="single"/>
                <w:rtl w:val="0"/>
              </w:rPr>
              <w:t xml:space="preserve">kritēriju izvērtējums</w:t>
            </w:r>
            <w:r w:rsidR="00000000" w:rsidRPr="00000000" w:rsidDel="00000000">
              <w:rPr>
                <w:rtl w:val="0"/>
              </w:rPr>
              <w:t xml:space="preserve">. Administratīvās atbildības nepieciešamības un pieļaujamības kritēriju izvērtējums ir jāveic par katru projektā paredzēto pārkāpumu atsevišķi. Kā piemēru aicinām skatīt Ugunsdrošības, ugunsdzēsības un glābšanas darbu likuma anotāciju. Ja, izvērtējot administratīvās atbildības pieļaujamības un nepieciešamības kritērijus, tiek konstatēta neatbilstība kādam no kritērijiem, administratīvā atbildība nebūtu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anotācijā iekļaut administratīvās atbildības pieļaujamības un nepieciešamības kritēriju izvērtējumu nav vērtējama kā birokrātiska prasība vai lieks apgrūtinājums normu izstrādātājiem un pieņēmējiem. Administratīvās atbildības pieļaujamības un nepieciešamības kritēriju izvērtējums ir būtisks, lai nodrošinātu regulējuma atbilstību tiesiskās noteiktības principam. Ja likumdevējs reiz ir izveidojis vai akceptējis noteiktus administratīvās atbildības noteikšanas pamatprincipus, tad arī to konkretizējumam normatīvajos aktos un piemērošanas praksē jābūt konsekventam (</w:t>
            </w:r>
            <w:r w:rsidR="00000000" w:rsidRPr="00000000" w:rsidDel="00000000">
              <w:rPr>
                <w:i w:val="1"/>
                <w:rtl w:val="0"/>
              </w:rPr>
              <w:t xml:space="preserve">sal. Danovskis E. Publisko un privāto tiesību dalījuma nozīme un piemērošanas problēmas Latvijā. Rīga: Latvijas Vēstnesis, 2015, 187.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Anotācijā iekļaujams arī paredzēto pārkāpumu satura skaidrojums,</w:t>
            </w:r>
            <w:r w:rsidR="00000000" w:rsidRPr="00000000" w:rsidDel="00000000">
              <w:rPr>
                <w:b w:val="1"/>
                <w:u w:val="single"/>
                <w:rtl w:val="0"/>
              </w:rPr>
              <w:t xml:space="preserve"> tostarp jānorāda korespondējošās tiesību normas, par kuru neievērošanu būs paredzēta administratīvā atbildība.</w:t>
            </w:r>
            <w:r w:rsidR="00000000" w:rsidRPr="00000000" w:rsidDel="00000000">
              <w:rPr>
                <w:rtl w:val="0"/>
              </w:rPr>
              <w:t xml:space="preserve"> Tās ir likumprojekta vai citu normatīvo aktu vienības, kurās ir noteikti pienākumi, par kuru neievērošanu tad būs piemērojama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u w:val="single"/>
                <w:rtl w:val="0"/>
              </w:rPr>
              <w:t xml:space="preserve">Likumprojektu ir nepieciešams papildināt ar regulējumu, kas nosaka administratīvā pārkāpuma pazīmju saturu</w:t>
            </w:r>
            <w:r w:rsidR="00000000" w:rsidRPr="00000000" w:rsidDel="00000000">
              <w:rPr>
                <w:b w:val="1"/>
                <w:rtl w:val="0"/>
              </w:rPr>
              <w:t xml:space="preserve"> (regulējums, par kura neievērošanu tiek paredzēta administratīvā atbildība).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situācija, ka administratīvā pārkāpuma saturu būtībā nosaka Ministru kabinets vai Latvijā atzītās sporta federācijas (piemēram, nosakot sporta darbinieku kvalifikācijas prasības, kas ir par pamatu sertifikāta iegūšanai, vai, piemēram, sporta reģistrā obligāti sniedzamās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pārkāpumu (t. i., tā pazīmes, nodarījumu, nepieļaujamo rīcību) un par to piemērojamo sodu var noteikt tikai formālais likumdevējs – Saeima. Nav pieļaujama situācija, ka pārkāpuma saturu patiesībā noteiktu izpildvara – Ministru kabinets, pārvaldes iestāde u. tml. Lai arī blanketas normas ir pieļaujamas, tomēr likumā, definējot pārkāpumu, ir jānorāda visas tā nepieciešamās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pārkāpumu formulējumā neizmanto tādas frāzes kā "bez normatīvajos aktos noteiktā" vai tamlīdzīgi. Pašsaprotami, ka attiecīgajam pienākumam jābūt normatīvi noteiktam.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u w:val="single"/>
                <w:rtl w:val="0"/>
              </w:rPr>
              <w:t xml:space="preserve">Anotācijā iekļaujams soda veida un apmēra izvēles pamatojums </w:t>
            </w:r>
            <w:r w:rsidR="00000000" w:rsidRPr="00000000" w:rsidDel="00000000">
              <w:rPr>
                <w:rtl w:val="0"/>
              </w:rPr>
              <w:t xml:space="preserve">(detalizētāks skaidrojums ir ietverts  Tieslietu ministrijas 2025. gada 10. jūnija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iekļautais skaidrojums, ka naudas soda apmērs iekļaujas Administratīvās atbildības likumā noteiktajā minimālajā un maksimālā naudas soda apmērā, nepamato likumprojektā iekļauto pārkāpumu paredzēto naudas sodu apmēru, tiklab par pārkāpumiem varētu piemērot arī naudas sodu 400 naudas soda vienību apmērā. Lūdzam soda veida un apmēra izvēles pamatojumu saistīt ar pārkāpuma smagumu un tā iespējamām sekām, tostarp vērtējot jau pastāvošo administratīvo atbildību salīdzināmās situācijās citos 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normatīvajos aktos noteiktās informācijas neiesniegšanu sporta reģistrā piemēro brīdinājumu vai naudas sodu līdz sešdesmit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aprites pārkāpumi ir jau iekļauti Administratīvo sodu likumā par pārkāpumiem pārvaldes, sabiedriskās kārtības un valsts valodas lietošanas jomā (turpmāk - Administratīvo sodu likums) un likumprojektā nav dublējami.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par normatīvajos tiesību aktos noteiktas informācijas nesniegšanu, informācijas nepienācīgu sniegšanu vai nepatiesas informācijas sniegšanu iestādei ir paredzēta Administratīvo sodu likuma 3. pantā. Šajā pantā ir apvienoti visi administratīvie pārkāpumi, kas saistīti ar normatīvajos aktos noteiktas informācijas sniegšanu iestādei (</w:t>
            </w:r>
            <w:r w:rsidR="00000000" w:rsidRPr="00000000" w:rsidDel="00000000">
              <w:rPr>
                <w:i w:val="1"/>
                <w:rtl w:val="0"/>
              </w:rPr>
              <w:t xml:space="preserve">sk. likumprojekta "Administratīvo sodu likums par pārkāpumiem pārvaldes, sabiedriskās kārtības un valsts valodas lietošanas jomā" (Nr. 342/Lp13) sākotnējās ietekmes novērtējuma ziņojuma (anotācijas) I sadaļas 2. punktā esošo skaidrojumu par administratīvajiem pārkāpumiem pārvaldes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citos attiecīgo nozari regulējošajos likumos nav iekļaujami administratīvie pārkāpumi, kas izpaužas kā normatīvajos tiesību aktos noteiktas informācijas nesniegšana, informācijas nepienācīga sniegšana vai nepatiesas informācijas sniegšana iestādei. Ja ir nepieciešams paredzēt administratīvo atbildību par informācijas sniegšana pārkāpumiem, tādā gadījumā likumprojektā ir iekļaujams regulējums, kas paredz pienākumu sniegt informāciju noteiktā kārtībā, kā arī ir jāveic grozījumi Administratīvo sodu likumā, paredzot Izglītības kvalitātes valsts dienestam kompetenci administratīvo pārkāpumu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par informācijas nesniegšanu vispār būtu pieļaujama un ir nepieciešama administratīvā atbildība. Proti, iespējams informācijas sniegšanu efektīvāk var nodrošināt administratīvā procesa ietvaros, piemērojot piespiedu izpildes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sadaļā ir norādīts attiecībā uz likumprojekta 35.pantu, ka par sporta treneri un sporta tiesnesi drīkst strādāt persona, kurai ir nevainojama reputācijai, kā arī turpmāk ir iekļauts skaidrojums par jēdzienu "nevainojama reputācija". Tomēr likumprojekta 35. pants to neparedz, līdz ar to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Popova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5.3. apakšsadaļā ne tikai norādīt starptautiskos tiesību aktus un dokumentus, kuru prasības ieviestas likumprojektā, bet pēc būtības aizpildīt anotācijas 5.2. apakšsadaļu un 5.5. apakšsadaļas 2. tabulu, sniedzot informāciju par starptautiskajos tiesību aktu vienībās paredzēto saistību izpildi konkrētās likumprojekta vienībās, kā arī 5.3. apakšsadaļā sniedzot izvērstāku skaidrojumu par konkrēto juridiski nesaistošo starptautisko dokumentu prasību pārņemšanu likumprojektā. Salīdzinājumam lūdzam sk. 2018. gada 24. maija un 2021. gada 6. jūlijā Saeimā pieņemto Sporta likuma grozījumu anotācijas 5. sadaļu (anotācijas pieejamas: https://titania.saeima.lv/LIVS12/saeimalivs12.nsf/0/6DCC8F966460A1D7C225821A003C9CF0?OpenDocument#b; https://titania.saeima.lv/LIVS13/saeimalivs13.nsf/0/8C59CDBD54686E56C22586E6003238CE?OpenDocument#b).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likumprojekts ir nevis grozījumu spēkā esošajā Sporta likumā projekts, bet gan jauns likumprojekts. Attiecīgi atkārtoti arī aicinām izvērstāk pamatot likumprojektā paredzētos ierobežojumus, to nepieciešamību un samērīgumu, ne tikai norādīt, ka ierobežojumi ir aktuāli un nav grozāmi (piem., 33. un 34. pantā paredzētie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Sporta izglītības iestāde, kurai nav juridiskās personas statusa, var būt par sporta kluba, sporta federācijas vai citas sporta organizācijas biedru, ja ir saņemts attiecīgs tās dibinātāja pilnvarojums. Valsts dibinātai sporta izglītības iestādei attiecīgu pilnvarojumu apstiprina ar Ministru kabineta lēmumu, bet pašvaldības dibinātai sporta izglītības iestādei — ar pašvaldības 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likumprojekts ir jauns likums, nevis grozījumi spēkā esošajā Sporta likumā, anotācijā nepieciešams ietvert informāciju par visu likumprojektā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attiecīgu informāciju par likumprojektā (t.sk., likumprojekta 6. panta sestajā daļā)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 slēgt deleģēšanas vai līdzdarbības līgumu Valsts pārvaldes iekārtas likumā noteiktajā kārtībā ar privāto vai publisko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iekārtas likuma 40. panta pirmā daļa noteic, ka </w:t>
            </w:r>
            <w:r w:rsidR="00000000" w:rsidRPr="00000000" w:rsidDel="00000000">
              <w:rPr>
                <w:u w:val="single"/>
                <w:rtl w:val="0"/>
              </w:rPr>
              <w:t xml:space="preserve">publiska persona var deleģēt privātpersonai un citai publiskai personai pārvaldes uzdevumu</w:t>
            </w:r>
            <w:r w:rsidR="00000000" w:rsidRPr="00000000" w:rsidDel="00000000">
              <w:rPr>
                <w:rtl w:val="0"/>
              </w:rPr>
              <w:t xml:space="preserve">, ja pilnvarotā persona attiecīgo uzdevumu var veikt efektīvāk. Atbilstoši Valsts pārvaldes iekārtas likuma 40. panta otrajā un trešajā daļā noteiktajam </w:t>
            </w:r>
            <w:r w:rsidR="00000000" w:rsidRPr="00000000" w:rsidDel="00000000">
              <w:rPr>
                <w:u w:val="single"/>
                <w:rtl w:val="0"/>
              </w:rPr>
              <w:t xml:space="preserve">privātpersonai pārvaldes uzdevumu var deleģēt ar ārēju normatīvo aktu vai līgumu</w:t>
            </w:r>
            <w:r w:rsidR="00000000" w:rsidRPr="00000000" w:rsidDel="00000000">
              <w:rPr>
                <w:rtl w:val="0"/>
              </w:rPr>
              <w:t xml:space="preserve">, ja tas paredzēts ārējā normatīvajā aktā, ievērojot šā likuma 41. panta otrās un trešās daļas noteikumus. </w:t>
            </w:r>
            <w:r w:rsidR="00000000" w:rsidRPr="00000000" w:rsidDel="00000000">
              <w:rPr>
                <w:u w:val="single"/>
                <w:rtl w:val="0"/>
              </w:rPr>
              <w:t xml:space="preserve">Citai publiskai personai pārvaldes uzdevumu var deleģēt likumā noteiktajos gadījumos</w:t>
            </w:r>
            <w:r w:rsidR="00000000" w:rsidRPr="00000000" w:rsidDel="00000000">
              <w:rPr>
                <w:rtl w:val="0"/>
              </w:rPr>
              <w:t xml:space="preserve">. Šādā gadījumā piemērojami šīs nodaļas noteikumi, ciktāl citu likumu speciālajās tiesību normās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49. panta pirmā daļa noteic, ka </w:t>
            </w:r>
            <w:r w:rsidR="00000000" w:rsidRPr="00000000" w:rsidDel="00000000">
              <w:rPr>
                <w:u w:val="single"/>
                <w:rtl w:val="0"/>
              </w:rPr>
              <w:t xml:space="preserve">privātpersonu ar ārēju normatīvo aktu vai līdzdarbības līgumu</w:t>
            </w:r>
            <w:r w:rsidR="00000000" w:rsidRPr="00000000" w:rsidDel="00000000">
              <w:rPr>
                <w:rtl w:val="0"/>
              </w:rPr>
              <w:t xml:space="preserve"> (50. pants) var pilnvarot veikt pārvaldes uzdevumu, kurš neietver pārvaldes lēmuma pieņemšanu vai sagatavošanu. Savukārt 54. panta ceturtā un piektā daļa noteic, ka iestādes var sadarboties gan atsevišķā gadījumā, gan pastāvīgi. </w:t>
            </w:r>
            <w:r w:rsidR="00000000" w:rsidRPr="00000000" w:rsidDel="00000000">
              <w:rPr>
                <w:u w:val="single"/>
                <w:rtl w:val="0"/>
              </w:rPr>
              <w:t xml:space="preserve">Sadarbojoties pastāvīgi, iestādes var slēgt starpresoru vienošanos</w:t>
            </w:r>
            <w:r w:rsidR="00000000" w:rsidRPr="00000000" w:rsidDel="00000000">
              <w:rPr>
                <w:rtl w:val="0"/>
              </w:rPr>
              <w:t xml:space="preserve"> (58.-60. pants). </w:t>
            </w:r>
            <w:r w:rsidR="00000000" w:rsidRPr="00000000" w:rsidDel="00000000">
              <w:rPr>
                <w:u w:val="single"/>
                <w:rtl w:val="0"/>
              </w:rPr>
              <w:t xml:space="preserve">Publiskas personas sadarbojoties var slēgt sadarbības līgumu</w:t>
            </w:r>
            <w:r w:rsidR="00000000" w:rsidRPr="00000000" w:rsidDel="00000000">
              <w:rPr>
                <w:rtl w:val="0"/>
              </w:rPr>
              <w:t xml:space="preserve"> (61.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projekta 9. panta otrās daļas 4. punktā paredzēto regulējumu un precizēt to, kā arī precizēt anotācijā ietverto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 un tās padotības iestādes nodrošina iespēju nodarboties ar sportu ieslodzījuma vietās atbilstoši normatīvajiem aktiem par drošības līdzekļa — apcietinājuma un brīvības atņemšanas soda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pantu atbilstoši Tieslietu ministrijas un tās padotības iestādes kompetencei. Vēršam uzmanību, ka ministrijas padotībā ir vairākas iestādes, bet ieslodzījuma vietas ir Ieslodzījuma vietu pārvaldes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 (Ieslodzījuma vietu pārvalde) nodrošina nodarbošanos ar sportu ieslodzījuma vietās atbilstoši normatīvajiem aktiem par drošības līdzekļa - apcietinājums un brīvības atņemšanas soda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 sportistu un bērnu ar paaugstinātu fizisko slodzi veselības aprūpi un medicīnisko uzraudzību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47. punkts noteic, </w:t>
            </w:r>
            <w:r w:rsidR="00000000" w:rsidRPr="00000000" w:rsidDel="00000000">
              <w:rPr>
                <w:u w:val="single"/>
                <w:rtl w:val="0"/>
              </w:rPr>
              <w:t xml:space="preserve">kā izstrādā pilnvarojumu Ministru kabinetam izdot ārēju normatīvo aktu</w:t>
            </w:r>
            <w:r w:rsidR="00000000" w:rsidRPr="00000000" w:rsidDel="00000000">
              <w:rPr>
                <w:rtl w:val="0"/>
              </w:rPr>
              <w:t xml:space="preserve">. Vienlaikus vēršam uzmanību uz to, ka Ministru kabineta 2009. gada 3. februāra noteikumu Nr. 108 "Normatīvo aktu projektu sagatavošanas noteikumi" 62. punktā noteiktajam l</w:t>
            </w:r>
            <w:r w:rsidR="00000000" w:rsidRPr="00000000" w:rsidDel="00000000">
              <w:rPr>
                <w:u w:val="single"/>
                <w:rtl w:val="0"/>
              </w:rPr>
              <w:t xml:space="preserve">ikumprojektā neietver atsauces uz zemāka juridiskā spēka normatīvo aktu, kā arī uz normatīvo aktu, kas vēl nav stājies spēkā</w:t>
            </w:r>
            <w:r w:rsidR="00000000" w:rsidRPr="00000000" w:rsidDel="00000000">
              <w:rPr>
                <w:rtl w:val="0"/>
              </w:rPr>
              <w:t xml:space="preserve">. Atsauce var norādīt uz normatīvo aktu, kas vēl nav stājies spēkā, ja tas stāsies spēkā pirms likumprojekta stāšanās spēkā vai vienlaikus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likumprojektā (piemēram, likumprojekta 10. panta piektās daļas 3. punktā, 14. panta pirmajā daļā un otrās daļas 3. punktā) paredzēto regulējumu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Sporta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likumprojekts paredz Sporta reģistra kā Valsts izglītības informācijas sistēmas daļas izveidi, lūdzam precizēt likumprojektu kopumā, nodrošinot Sporta reģistra normatīvā regulējuma atbilstību Valsts informācijas sistēmu likuma prasībām, tajā skaitā, prasību ārējos normatīvajos aktos noteikt Sporta reģistra funkcijas un uzdevumus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Nacionālo sporta padomi un tās priekšsēdētāju apstiprina Ministru kabinets. Latvijas Nacionālās sporta padomes sastāvā ir aizsardzības ministrs, finanšu ministrs, iekšlietu ministrs, izglītības un zinātnes ministrs, labklājības ministrs, veselības ministrs, izglītības un zinātnes ministra noteiktā par sportu atbildīgā augstākā valsts amatpersona, šajā likumā noteikto sporta organizāciju vadītāji un citu sporta organizāciju vadītāji. Sporta organizāciju vadītāji  veido pusi no padomes sastāva. Ministru kabinets Latvijas Nacionālās sporta padomes sastāvā var iekļaut arī citus locekļus, bet ne vairāk kā trīs Ministru kabineta locekļus un trīs sporta organizāciju vadītājus, ievērojot, ka papildus iekļauto Ministru kabineta locekļu skaitam un sporta federāciju vadītāju skaitam jābūt vienādam.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w:t>
            </w:r>
            <w:r w:rsidR="00000000" w:rsidRPr="00000000" w:rsidDel="00000000">
              <w:rPr>
                <w:u w:val="single"/>
                <w:rtl w:val="0"/>
              </w:rPr>
              <w:t xml:space="preserve">ikumprojekta 8. panta 5. punktā ir ietverts pilnvarojums Ministru kabinetam noteikt Latvijas Nacionālās sporta padomes sastāvu, apstiprināt nolikumu, kā arī noteikt lēmumu un atzinumu pieņemšanas kārtību</w:t>
            </w:r>
            <w:r w:rsidR="00000000" w:rsidRPr="00000000" w:rsidDel="00000000">
              <w:rPr>
                <w:rtl w:val="0"/>
              </w:rPr>
              <w:t xml:space="preserve">, un l</w:t>
            </w:r>
            <w:r w:rsidR="00000000" w:rsidRPr="00000000" w:rsidDel="00000000">
              <w:rPr>
                <w:u w:val="single"/>
                <w:rtl w:val="0"/>
              </w:rPr>
              <w:t xml:space="preserve">ikumprojekta 15. panta otrajā un trešajā daļā arī ir ietverts pilnvarojums Ministru kabinetam izdot noteikumus attiecībā uz Latvijas Nacionālo sporta padomi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likumprojekta 8. panta 5. punktā un 15. panta otrajā un trešajā daļā, savstarpēji nedublējot attiecīgo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antidopinga noteikumi ietver dopinga definīciju, nosaka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atzīšanas kārtību un termiņus, ierobežojošos noteikumus sankciju piemērošanai, kā arī citus noteikumus atbilstoši antidopinga konvencijām.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8. panta 3. punktā ir ietverts pilnvarojums Ministru kabinetam noteikt Nacionālos antidopinga noteikumus, atkārtoti lūdzam precizēt likumprojekta 24. pantu, kā arī nepieciešamības gadījumā attiecīgi precizēt likumprojekta 8.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 personas datu, tai skaitā veselības datu, apstrādi atbilstoši personas datu aizsardzību regulējošiem normatīvajiem aktiem, lai nodrošinātu antidopinga konvenciju noteikumu un Nacionālo antidopinga noteikumu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saturu, aktualitāti un atbilstību spēkā esošajiem tiesību aktiem un atbilstoši precizēt likumprojektu kopumā, ņemot vērā, ka Latvijas Antidopinga biroja tiesības apstrādāt noteiktas personas datu kategorijas un datu veidus izriet jau no citiem normatīvajiem aktiem. Atbilstoši Ministru kabineta 2009. gada 3. februāra noteikumu Nr. 108 "Normatīvo aktu projektu sagatavošanas noteikumi" 3.2. apakšpunktā noteiktajam normatīvā akta projektā neietver normas, kas dublē augstāka vai tāda paša spēka normatīvā akta tiesību normās ietverto normatīvo regulējumu. Tāpat personas datu aizsardzības jomu regulējošo normatīvo aktu prasības pārzinim ir jāievēro neatkarīgi no tā, vai tas papildu tiek noteikts speciālajā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Antidopinga biroja lēmumus, kas pieņemti atbilstoši šā likuma</w:t>
            </w:r>
            <w:r w:rsidR="00000000" w:rsidRPr="00000000" w:rsidDel="00000000">
              <w:rPr>
                <w:b w:val="1"/>
                <w:rtl w:val="0"/>
              </w:rPr>
              <w:t xml:space="preserve"> </w:t>
            </w:r>
            <w:r w:rsidR="00000000" w:rsidRPr="00000000" w:rsidDel="00000000">
              <w:rPr>
                <w:rtl w:val="0"/>
              </w:rPr>
              <w:t xml:space="preserve">26. panta ceturtajai daļai, var pārsūdzēt Pārsūdzības komisijā atbilstoši šā likuma 27. panta pirmajai daļai vai starptautiskajā Sporta arbitrāžas tiesā, ja lēmums ir pieņemts par starptautiska līmeņa sportistu vai ir saistīts ar dalību starptautiskā sporta pasākumā atbilstoši antidopinga konvenciju noteikumiem vai Nacionālajiem antidopinga noteikumiem. Šo sūdzību izskatīšanā nav piemērojams Administratīvā procesa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norādot korektu iekšējo vienību, nevis 27. panta pirmo daļu (iespējams, domāta 28.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Disciplinārā antidopinga komisija atbilstoši Nacionālajiem antidopinga noteikumiem, šā panta devītajā daļā minētajiem Ministru kabineta noteikumiem un šā likuma 25. panta pirmās daļas 6. un 9.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ietvertās iekšējās atsauces ir korektas, un nepieciešamības gadījumā precizēt vai sniegt skaidrojumu, kādēļ ietvertas atsauces tieši uz konkrētajām likumprojekta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šā panta pirmajā daļā minētos iespējamos antidopinga noteikumu pārkāpumus, Disciplinārā antidopinga komisija veic personas datu, tai skaitā veselības datu, apstrādi atbilstoši personas datu aizsardzību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saturu, aktualitāti un atbilstību spēkā esošajiem tiesību aktiem un atbilstoši precizēt likumprojektu. Vēršam uzmanību, ka personas datu aizsardzības jomu regulējoši normatīvie akti pārzinim ir jāievēro neatkarīgi no tā, vai tas papildu tiek noteikts speciālajā normatīvajā aktā, tādēļ šāda prasība nebūtu iekļaujama atsevišķi likumprojektā. Iebildums attiecināms uz likumprojektu kopumā, ņemot vērā, ka šāds formulējums personas datu apstrādi veikt atbilstoši personas datu aizsardzību regulējošiem normatīvajiem aktiem, izmantots arī citviet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apakšsadaļas pamatojumā ietverto informāciju, norādot korektu likumprojekta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atbilstoši precizētajiem likumprojekta pārejas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izziņas 83. punktā sniegto skaidrojumu ietvert arī anotācijā (ciktāl attiecināms), sniedzot skaidrojumu par likumprojekta IV nodaļā ietverto regulējumu, īpaši ņemot vērā, ka projekts ir jauna Sporta likuma projekts, nevis grozījumu Sporta likumā projekts. Vienlaikus aicinām skaidrojumu papildināt, ņemot vērā, ka IV nodaļā tiek pārņemtas ne vien spēkā esošā Sporta likuma normas, kuras likumā tika ietvertas ar 2021. gada 6. jūlija grozījumiem, bet arī 2018. gada 24. maija grozījumiem, kuri izziņā nav minēti. Attiecīgi aicinām sniegt vai papildināt skaidrojumu izziņā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w:t>
            </w:r>
            <w:r w:rsidR="00000000" w:rsidRPr="00000000" w:rsidDel="00000000">
              <w:rPr>
                <w:u w:val="single"/>
                <w:rtl w:val="0"/>
              </w:rPr>
              <w:t xml:space="preserve">ir atbalstāma Ministru kabineta noteikumu projektu izsludināšana Valsts sekretāru sanāksmē, kad likumprojekts Saeimā izskatīts otrajā lasījumā, kā arī šādi Ministru kabineta noteikumu projekti var tikt izskatīti Ministru kabinetā, kad likumprojekts pieņemts Saeimā</w:t>
            </w:r>
            <w:r w:rsidR="00000000" w:rsidRPr="00000000" w:rsidDel="00000000">
              <w:rPr>
                <w:rtl w:val="0"/>
              </w:rPr>
              <w:t xml:space="preserve">. Iepriekš minētais ir attiecināms arī uz Ministru kabineta noteikumu projektiem, kas ietverti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4.1. apakšsadaļā informāciju par to, kad tiks pieņemti attiecīgie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korektas precizētā likumprojekta tiesību normas, kurās ietverts attiecīgais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