
<file path=[Content_Types].xml><?xml version="1.0" encoding="utf-8"?>
<Types xmlns="http://schemas.openxmlformats.org/package/2006/content-types">
  <Default Extension="gif" ContentType="image/gif"/>
  <Default Extension="jpeg" ContentType="image/jpeg"/>
  <Default Extension="jpg" ContentType="image/jpeg"/>
  <Default Extension="png" ContentType="image/png"/>
  <Default Extension="rels" ContentType="application/vnd.openxmlformats-package.relationships+xml"/>
  <Default Extension="xml" ContentType="application/xml"/>
  <Override PartName="/docProps/app.xml" ContentType="application/vnd.openxmlformats-officedocument.extended-properties+xml"/>
  <Override PartName="/docProps/core.xml" ContentType="application/vnd.openxmlformats-package.core-properties+xml"/>
  <Override PartName="/docProps/custom.xml" ContentType="application/vnd.openxmlformats-officedocument.custom-properties+xml"/>
  <Override PartName="/word/document.xml" ContentType="application/vnd.openxmlformats-officedocument.wordprocessingml.document.main+xml"/>
  <Override PartName="/word/header1.xml" ContentType="application/vnd.openxmlformats-officedocument.wordprocessingml.header+xml"/>
  <Override PartName="/word/header2.xml" ContentType="application/vnd.openxmlformats-officedocument.wordprocessingml.header+xml"/>
  <Override PartName="/word/footer1.xml" ContentType="application/vnd.openxmlformats-officedocument.wordprocessingml.footer+xml"/>
  <Override PartName="/word/footer2.xml" ContentType="application/vnd.openxmlformats-officedocument.wordprocessingml.footer+xml"/>
  <Override PartName="/word/fontTable.xml" ContentType="application/vnd.openxmlformats-officedocument.wordprocessingml.fontTable+xml"/>
  <Override PartName="/word/numbering.xml" ContentType="application/vnd.openxmlformats-officedocument.wordprocessingml.numbering+xml"/>
  <Override PartName="/word/settings.xml" ContentType="application/vnd.openxmlformats-officedocument.wordprocessingml.settings+xml"/>
  <Override PartName="/word/styles.xml" ContentType="application/vnd.openxmlformats-officedocument.wordprocessingml.styles+xml"/>
</Types>
</file>

<file path=_rels/.rels><?xml version="1.0" encoding="UTF-8" standalone="yes"?>
<Relationships xmlns="http://schemas.openxmlformats.org/package/2006/relationships"><Relationship Target="docProps/app.xml" Type="http://schemas.openxmlformats.org/officeDocument/2006/relationships/extended-properties" Id="rId1"/><Relationship Target="docProps/core.xml" Type="http://schemas.openxmlformats.org/package/2006/relationships/metadata/core-properties" Id="rId2"/><Relationship Target="docProps/custom.xml" Type="http://schemas.openxmlformats.org/officeDocument/2006/relationships/custom-properties" Id="rId3"/><Relationship Target="word/document.xml" Type="http://schemas.openxmlformats.org/officeDocument/2006/relationships/officeDocument" Id="rId4"/></Relationships>

</file>

<file path=word/document.xml><?xml version="1.0" encoding="utf-8"?>
<w:document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background w:color="FFFFFF"/>
  <w:body>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22-TA-1054: Likumprojekts (Grozījumi)</w:t>
      </w:r>
    </w:p>
    <w:p w:rsidP="00000000" w:rsidRDefault="00000000" w:rsidR="00000000" w:rsidRPr="00000000" w:rsidDel="00000000">
      <w:pPr>
        <w:pStyle w:val="bold_paragraph"/>
        <w:contextualSpacing w:val="0"/>
        <w:spacing w:lineRule="auto" w:line="240"/>
        <w:pBdr/>
      </w:pPr>
      <w:r w:rsidR="00000000" w:rsidRPr="00000000" w:rsidDel="00000000">
        <w:rPr>
          <w:rStyle w:val="bold_paragraph"/>
          <w:rtl w:val="0"/>
        </w:rPr>
        <w:t xml:space="preserve"/>
      </w:r>
      <w:r w:rsidR="00000000" w:rsidRPr="00000000" w:rsidDel="00000000">
        <w:rPr>
          <w:rtl w:val="0"/>
        </w:rPr>
        <w:t xml:space="preserve">Grozījumi Farmācijas likumā</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TA saskaņojamie dokumenti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(grozījumi)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Anotācija (ex-ante) 4.0</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MK sēdes protokollēmuma projekts 1.0</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sniedzējs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Satiksmes ministrija</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Atzinums iesniegts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Atzinuma sniegšanas termiņš</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07.03.2023.</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Saskaņošanas rezultāts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Saskaņots ar priekšlikumiem</w:t>
      </w:r>
    </w:p>
    <w:p w:rsidP="00000000" w:rsidRDefault="00000000" w:rsidR="00000000" w:rsidRPr="00000000" w:rsidDel="00000000">
      <w:pPr>
        <w:pStyle w:val="title_paragraph"/>
        <w:contextualSpacing w:val="0"/>
        <w:spacing w:lineRule="auto" w:line="240"/>
        <w:pBdr/>
      </w:pPr>
      <w:r w:rsidR="00000000" w:rsidRPr="00000000" w:rsidDel="00000000">
        <w:rPr>
          <w:rStyle w:val="title_paragraph"/>
          <w:rtl w:val="0"/>
        </w:rPr>
        <w:t xml:space="preserve"/>
      </w:r>
      <w:r w:rsidR="00000000" w:rsidRPr="00000000" w:rsidDel="00000000">
        <w:rPr>
          <w:rStyle w:val="title_paragraph"/>
          <w:rtl w:val="0"/>
        </w:rPr>
        <w:t xml:space="preserve">Pieejamības statuss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Vispārpieejams</w:t>
      </w:r>
    </w:p>
    <w:p w:rsidP="00000000" w:rsidRDefault="00000000" w:rsidR="00000000" w:rsidRPr="00000000" w:rsidDel="00000000">
      <w:pPr>
        <w:contextualSpacing w:val="0"/>
        <w:spacing w:lineRule="auto" w:line="240"/>
        <w:pBdr/>
      </w:pPr>
      <w:r w:rsidR="00000000" w:rsidRPr="00000000" w:rsidDel="00000000">
        <w:rPr>
          <w:rtl w:val="0"/>
        </w:rPr>
        <w:t xml:space="preserve"/>
      </w:r>
    </w:p>
    <w:tbl>
      <w:tblPr>
        <w:tblStyle w:val="DefaultTable"/>
        <w:bidiVisual w:val="0"/>
        <w:tblW w:w="9642.0" w:type="dxa"/>
        <w:tblInd w:w="0.0" w:type="dxa"/>
        <w:jc w:val="left"/>
        <w:tblBorders>
          <w:top w:color="auto" w:val="single" w:sz="5" w:space="0"/>
          <w:left w:color="auto" w:val="single" w:sz="5" w:space="0"/>
          <w:bottom w:color="auto" w:val="single" w:sz="5" w:space="0"/>
          <w:right w:color="auto" w:val="single" w:sz="5" w:space="0"/>
          <w:insideH w:color="auto" w:val="single" w:sz="5" w:space="0"/>
          <w:insideV w:color="auto" w:val="single" w:sz="5" w:space="0"/>
        </w:tblBorders>
        <w:tblLayout w:type="fixed"/>
        <w:tblLook w:val="0600"/>
      </w:tblPr>
      <w:tblGrid>
        <w:gridCol w:w="675"/>
        <w:gridCol w:w="4050"/>
        <w:gridCol w:w="6375"/>
        <w:gridCol w:w="1800"/>
        <w:tblGridChange w:id="0">
          <w:tblGrid>
            <w:gridCol w:w="675"/>
            <w:gridCol w:w="4050"/>
            <w:gridCol w:w="6375"/>
            <w:gridCol w:w="1800"/>
          </w:tblGrid>
        </w:tblGridChange>
      </w:tblGrid>
      <w:tr>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Nr.p.k.</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Projekta redakcija</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Iebildums / Priekšlikums</w:t>
            </w:r>
          </w:p>
        </w:tc>
        <w:tc>
          <w:tcPr>
            <w:shd w:fill="ffffff"/>
            <w:vAlign w:val="center"/>
            <w:noWrap w:val="true"/>
            <w:tcMar>
              <w:top w:w="75.0" w:type="dxa"/>
              <w:left w:w="75.0" w:type="dxa"/>
              <w:bottom w:w="75.0" w:type="dxa"/>
              <w:right w:w="75.0" w:type="dxa"/>
            </w:tcMar>
          </w:tcPr>
          <w:p w:rsidP="00000000" w:rsidRDefault="00000000" w:rsidR="00000000" w:rsidRPr="00000000" w:rsidDel="00000000">
            <w:pPr>
              <w:contextualSpacing w:val="0"/>
              <w:jc w:val="center"/>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Autors</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25.</w:t>
            </w:r>
            <w:r w:rsidR="00000000" w:rsidRPr="00000000" w:rsidDel="00000000">
              <w:rPr>
                <w:b w:val="1"/>
                <w:vertAlign w:val="superscript"/>
                <w:rtl w:val="0"/>
              </w:rPr>
              <w:t xml:space="preserve">4 </w:t>
            </w:r>
            <w:r w:rsidR="00000000" w:rsidRPr="00000000" w:rsidDel="00000000">
              <w:rPr>
                <w:b w:val="1"/>
                <w:rtl w:val="0"/>
              </w:rPr>
              <w:t xml:space="preserve">pants.</w:t>
            </w:r>
            <w:r w:rsidR="00000000" w:rsidRPr="00000000" w:rsidDel="00000000">
              <w:rPr>
                <w:rtl w:val="0"/>
              </w:rPr>
              <w:t xml:space="preserve">  (1) Kuģis un Jūras kodeksa 112. panta ceturtajā daļā noteiktais kuģa aģents (turpmāk - kuģa aģents) var iegādāties zāles kuģa apgādei vispārējā tipa aptiekā, zāļu lieltirgotavā un no zāļu ražotāja vai importētāja. Kuģis var iegādāties zāles kuģa apgādei no kuģa aģenta.</w:t>
            </w:r>
            <w:r w:rsidR="00000000" w:rsidRPr="00000000" w:rsidDel="00000000">
              <w:rPr>
                <w:rtl w:val="0"/>
              </w:rPr>
              <w:t xml:space="preserve">(2) Kuģa aģentam ir jāsaņem Zāļu valsts aģentūras atļauja zāļu izplatīšanai, lai iegādātos zāles kuģa apgādei. Uz šādu gadījumu neattiecas šā likuma 25. panta noteikums par speciālās atļaujas (licences) saņemšanu zāļu izplatīšanai kuģa apgādei.</w:t>
            </w:r>
            <w:r w:rsidR="00000000" w:rsidRPr="00000000" w:rsidDel="00000000">
              <w:rPr>
                <w:rtl w:val="0"/>
              </w:rPr>
              <w:t xml:space="preserve">(3) Prasības un kārtību, kādā kuģis un kuģa aģents kuģa apgādei iegādājas zāles vispārējā tipa aptiekā, zāļu lieltirgotavā vai no zāļu ražotāja vai importētāja, un vispārējā tipa aptieka, zāļu lieltirgotava un zāļu ražotājs vai importētājs izplata zāles kuģiem un kuģu aģentiem kuģu apgādei, kā arī prasības un kārtību, kādā Zāļu valsts aģentūra izsniedz šā panta otrajā daļā noteikto atļauju kuģa apgādei ar zālēm kuģa aģentam, aptur, atjauno un anulē šā panta otrajā daļā noteiktās atļaujas, nosaka Ministru kabinets.</w:t>
            </w:r>
            <w:r w:rsidR="00000000" w:rsidRPr="00000000" w:rsidDel="00000000">
              <w:rPr>
                <w:b w:val="1"/>
                <w:rtl w:val="0"/>
              </w:rPr>
              <w:t xml:space="preserve">25.</w:t>
            </w:r>
            <w:r w:rsidR="00000000" w:rsidRPr="00000000" w:rsidDel="00000000">
              <w:rPr>
                <w:b w:val="1"/>
                <w:vertAlign w:val="superscript"/>
                <w:rtl w:val="0"/>
              </w:rPr>
              <w:t xml:space="preserve">5</w:t>
            </w:r>
            <w:r w:rsidR="00000000" w:rsidRPr="00000000" w:rsidDel="00000000">
              <w:rPr>
                <w:b w:val="1"/>
                <w:rtl w:val="0"/>
              </w:rPr>
              <w:t xml:space="preserve"> pants.</w:t>
            </w:r>
            <w:r w:rsidR="00000000" w:rsidRPr="00000000" w:rsidDel="00000000">
              <w:rPr>
                <w:rtl w:val="0"/>
              </w:rPr>
              <w:t xml:space="preserve"> Vietai, kas noteikta atļaujā muitas noliktavas darbībai (muitas noliktava), kurā zāles uzglabā ilgāk par 72 stundām, piemēro šā likuma 25., 45. un 46.</w:t>
            </w:r>
            <w:r w:rsidR="00000000" w:rsidRPr="00000000" w:rsidDel="00000000">
              <w:rPr>
                <w:vertAlign w:val="superscript"/>
                <w:rtl w:val="0"/>
              </w:rPr>
              <w:t xml:space="preserve">1</w:t>
            </w:r>
            <w:r w:rsidR="00000000" w:rsidRPr="00000000" w:rsidDel="00000000">
              <w:rPr>
                <w:rtl w:val="0"/>
              </w:rPr>
              <w:t xml:space="preserve"> panta noteikumus un jāsaņem normatīvajos aktos par farmaceitiskās darbības licencēšanu noteiktajā kārtībā speciālā atļauja (licence) cilvēkiem paredzēto zāļu izplatīšanai vairumtirdzniecībā, kādu izsniedz zāļu lieltirgotavai un kurā kā atļautā darbības joma ir norādīta zāļu saņemšana un uzglabāšana.".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10.pantā ietverto 25.</w:t>
            </w:r>
            <w:r w:rsidR="00000000" w:rsidRPr="00000000" w:rsidDel="00000000">
              <w:rPr>
                <w:vertAlign w:val="superscript"/>
                <w:rtl w:val="0"/>
              </w:rPr>
              <w:t xml:space="preserve">4 </w:t>
            </w:r>
            <w:r w:rsidR="00000000" w:rsidRPr="00000000" w:rsidDel="00000000">
              <w:rPr>
                <w:rtl w:val="0"/>
              </w:rPr>
              <w:t xml:space="preserve">panta otrās daļas otro teikumu, ņemot vērā, ka likumprojekta 9.pantā ietvertajā 25.pantā ir ietverts noteikums par speciālo atļauju (licenci) 37., 45.pantā 51.panta pirmajā un otrajā daļā un 51.</w:t>
            </w:r>
            <w:r w:rsidR="00000000" w:rsidRPr="00000000" w:rsidDel="00000000">
              <w:rPr>
                <w:vertAlign w:val="superscript"/>
                <w:rtl w:val="0"/>
              </w:rPr>
              <w:t xml:space="preserve">3</w:t>
            </w:r>
            <w:r w:rsidR="00000000" w:rsidRPr="00000000" w:rsidDel="00000000">
              <w:rPr>
                <w:rtl w:val="0"/>
              </w:rPr>
              <w:t xml:space="preserve"> pantā noteiktajiem attiecīgajiem uzņēmējdarbības veidiem, nevis par speciālās atļaujas (licences) saņemšanu zāļu izplatīšanai kuģa apgādei.</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25.</w:t>
            </w:r>
            <w:r w:rsidR="00000000" w:rsidRPr="00000000" w:rsidDel="00000000">
              <w:rPr>
                <w:vertAlign w:val="superscript"/>
                <w:rtl w:val="0"/>
              </w:rPr>
              <w:t xml:space="preserve">4</w:t>
            </w:r>
            <w:r w:rsidR="00000000" w:rsidRPr="00000000" w:rsidDel="00000000">
              <w:rPr>
                <w:rtl w:val="0"/>
              </w:rPr>
              <w:t xml:space="preserve"> pants.  (1) Kuģis un Jūras kodeksa 112. panta ceturtajā daļā noteiktais kuģa aģents (turpmāk - kuģa aģents) var iegādāties zāles kuģa apgādei vispārējā tipa aptiekā, zāļu lieltirgotavā un no zāļu ražotāja vai importētāja. Kuģis var iegādāties zāles kuģa apgādei no kuģa aģenta.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 Kuģa aģentam ir jāsaņem Zāļu valsts aģentūras atļauja zāļu izplatīšanai, lai iegādātos zāles kuģa apgādei. </w:t>
            </w:r>
            <w:r w:rsidR="00000000" w:rsidRPr="00000000" w:rsidDel="00000000">
              <w:rPr>
                <w:b w:val="1"/>
                <w:rtl w:val="0"/>
              </w:rPr>
              <w:t xml:space="preserve">Uz šādu gadījumu neattiecas šā likuma 25. panta noteikums par speciālās atļaujas (licences) saņemšanu attiecīgajiem uzņēmējdarbības veidiem.</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Prasības un kārtību, kādā kuģis un kuģa aģents kuģa apgādei iegādājas zāles vispārējā tipa aptiekā, zāļu lieltirgotavā vai no zāļu ražotāja vai importētāja, un vispārējā tipa aptieka, zāļu lieltirgotava un zāļu ražotājs vai importētājs izplata zāles kuģiem un kuģu aģentiem kuģu apgādei, kā arī prasības un kārtību, kādā Zāļu valsts aģentūra izsniedz šā panta otrajā daļā noteikto atļauju kuģa apgādei ar zālēm kuģa aģentam, aptur, atjauno un anulē šā panta otrajā daļā noteiktās atļaujas,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2.</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Likumprojekts (grozījumi)</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 </w:t>
            </w:r>
            <w:r w:rsidR="00000000" w:rsidRPr="00000000" w:rsidDel="00000000">
              <w:rPr>
                <w:rtl w:val="0"/>
              </w:rPr>
              <w:t xml:space="preserve">"</w:t>
            </w:r>
            <w:r w:rsidR="00000000" w:rsidRPr="00000000" w:rsidDel="00000000">
              <w:rPr>
                <w:b w:val="1"/>
                <w:rtl w:val="0"/>
              </w:rPr>
              <w:t xml:space="preserve">25.</w:t>
            </w:r>
            <w:r w:rsidR="00000000" w:rsidRPr="00000000" w:rsidDel="00000000">
              <w:rPr>
                <w:b w:val="1"/>
                <w:vertAlign w:val="superscript"/>
                <w:rtl w:val="0"/>
              </w:rPr>
              <w:t xml:space="preserve">4 </w:t>
            </w:r>
            <w:r w:rsidR="00000000" w:rsidRPr="00000000" w:rsidDel="00000000">
              <w:rPr>
                <w:b w:val="1"/>
                <w:rtl w:val="0"/>
              </w:rPr>
              <w:t xml:space="preserve">pants.</w:t>
            </w:r>
            <w:r w:rsidR="00000000" w:rsidRPr="00000000" w:rsidDel="00000000">
              <w:rPr>
                <w:rtl w:val="0"/>
              </w:rPr>
              <w:t xml:space="preserve">  (1) Kuģis un Jūras kodeksa 112. panta ceturtajā daļā noteiktais kuģa aģents (turpmāk - kuģa aģents) var iegādāties zāles kuģa apgādei vispārējā tipa aptiekā, zāļu lieltirgotavā un no zāļu ražotāja vai importētāja. Kuģis var iegādāties zāles kuģa apgādei no kuģa aģenta.</w:t>
            </w:r>
            <w:r w:rsidR="00000000" w:rsidRPr="00000000" w:rsidDel="00000000">
              <w:rPr>
                <w:rtl w:val="0"/>
              </w:rPr>
              <w:t xml:space="preserve">(2) Kuģa aģentam ir jāsaņem Zāļu valsts aģentūras atļauja zāļu izplatīšanai, lai iegādātos zāles kuģa apgādei. Uz šādu gadījumu neattiecas šā likuma 25. panta noteikums par speciālās atļaujas (licences) saņemšanu zāļu izplatīšanai kuģa apgādei.</w:t>
            </w:r>
            <w:r w:rsidR="00000000" w:rsidRPr="00000000" w:rsidDel="00000000">
              <w:rPr>
                <w:rtl w:val="0"/>
              </w:rPr>
              <w:t xml:space="preserve">(3) Prasības un kārtību, kādā kuģis un kuģa aģents kuģa apgādei iegādājas zāles vispārējā tipa aptiekā, zāļu lieltirgotavā vai no zāļu ražotāja vai importētāja, un vispārējā tipa aptieka, zāļu lieltirgotava un zāļu ražotājs vai importētājs izplata zāles kuģiem un kuģu aģentiem kuģu apgādei, kā arī prasības un kārtību, kādā Zāļu valsts aģentūra izsniedz šā panta otrajā daļā noteikto atļauju kuģa apgādei ar zālēm kuģa aģentam, aptur, atjauno un anulē šā panta otrajā daļā noteiktās atļaujas, nosaka Ministru kabinets.</w:t>
            </w:r>
            <w:r w:rsidR="00000000" w:rsidRPr="00000000" w:rsidDel="00000000">
              <w:rPr>
                <w:b w:val="1"/>
                <w:rtl w:val="0"/>
              </w:rPr>
              <w:t xml:space="preserve">25.</w:t>
            </w:r>
            <w:r w:rsidR="00000000" w:rsidRPr="00000000" w:rsidDel="00000000">
              <w:rPr>
                <w:b w:val="1"/>
                <w:vertAlign w:val="superscript"/>
                <w:rtl w:val="0"/>
              </w:rPr>
              <w:t xml:space="preserve">5</w:t>
            </w:r>
            <w:r w:rsidR="00000000" w:rsidRPr="00000000" w:rsidDel="00000000">
              <w:rPr>
                <w:b w:val="1"/>
                <w:rtl w:val="0"/>
              </w:rPr>
              <w:t xml:space="preserve"> pants.</w:t>
            </w:r>
            <w:r w:rsidR="00000000" w:rsidRPr="00000000" w:rsidDel="00000000">
              <w:rPr>
                <w:rtl w:val="0"/>
              </w:rPr>
              <w:t xml:space="preserve"> Vietai, kas noteikta atļaujā muitas noliktavas darbībai (muitas noliktava), kurā zāles uzglabā ilgāk par 72 stundām, piemēro šā likuma 25., 45. un 46.</w:t>
            </w:r>
            <w:r w:rsidR="00000000" w:rsidRPr="00000000" w:rsidDel="00000000">
              <w:rPr>
                <w:vertAlign w:val="superscript"/>
                <w:rtl w:val="0"/>
              </w:rPr>
              <w:t xml:space="preserve">1</w:t>
            </w:r>
            <w:r w:rsidR="00000000" w:rsidRPr="00000000" w:rsidDel="00000000">
              <w:rPr>
                <w:rtl w:val="0"/>
              </w:rPr>
              <w:t xml:space="preserve"> panta noteikumus un jāsaņem normatīvajos aktos par farmaceitiskās darbības licencēšanu noteiktajā kārtībā speciālā atļauja (licence) cilvēkiem paredzēto zāļu izplatīšanai vairumtirdzniecībā, kādu izsniedz zāļu lieltirgotavai un kurā kā atļautā darbības joma ir norādīta zāļu saņemšana un uzglabāšana.".</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precizēt likumprojekta 10.pantā ietverto 25.</w:t>
            </w:r>
            <w:r w:rsidR="00000000" w:rsidRPr="00000000" w:rsidDel="00000000">
              <w:rPr>
                <w:vertAlign w:val="superscript"/>
                <w:rtl w:val="0"/>
              </w:rPr>
              <w:t xml:space="preserve">4</w:t>
            </w:r>
            <w:r w:rsidR="00000000" w:rsidRPr="00000000" w:rsidDel="00000000">
              <w:rPr>
                <w:rtl w:val="0"/>
              </w:rPr>
              <w:t xml:space="preserve">  panta trešo daļu, ņemot vērā, ka minētajā daļā pamatā tiek lietoti vārdi vienskaitļa formā.</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 Prasības un kārtību, kādā kuģis un kuģa aģents kuģa apgādei iegādājas zāles vispārējā tipa aptiekā, zāļu lieltirgotavā vai no zāļu ražotāja vai importētāja, un vispārējā tipa aptieka, zāļu lieltirgotava un zāļu ražotājs vai importētājs izplata zāles </w:t>
            </w:r>
            <w:r w:rsidR="00000000" w:rsidRPr="00000000" w:rsidDel="00000000">
              <w:rPr>
                <w:b w:val="1"/>
                <w:rtl w:val="0"/>
              </w:rPr>
              <w:t xml:space="preserve">kuģim un kuģu aģentam kuģa </w:t>
            </w:r>
            <w:r w:rsidR="00000000" w:rsidRPr="00000000" w:rsidDel="00000000">
              <w:rPr>
                <w:rtl w:val="0"/>
              </w:rPr>
              <w:t xml:space="preserve">apgādei, kā arī prasības un kārtību, kādā Zāļu valsts aģentūra izsniedz šā panta otrajā daļā noteikto atļauju kuģa apgādei ar zālēm kuģa aģentam, aptur, atjauno un anulē šā panta otrajā daļā </w:t>
            </w:r>
            <w:r w:rsidR="00000000" w:rsidRPr="00000000" w:rsidDel="00000000">
              <w:rPr>
                <w:b w:val="1"/>
                <w:rtl w:val="0"/>
              </w:rPr>
              <w:t xml:space="preserve">noteikto atļauju</w:t>
            </w:r>
            <w:r w:rsidR="00000000" w:rsidRPr="00000000" w:rsidDel="00000000">
              <w:rPr>
                <w:rtl w:val="0"/>
              </w:rPr>
              <w:t xml:space="preserve">, nosaka Ministru kabinets.</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Ilona Lipše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3.</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1.2. Mērķis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1.2. sadaļas "Mērķis" pamatojumā norādīt atbilstošas atsauces uz likuma pantiem, ņemot vērā likumprojekta 27. pantā minēto.</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Likumprojekts stājas spēkā vispārīgā kārtībā, taču tiek paredzēti pārejas noteikumi Likuma 5. panta 1.</w:t>
            </w:r>
            <w:r w:rsidR="00000000" w:rsidRPr="00000000" w:rsidDel="00000000">
              <w:rPr>
                <w:vertAlign w:val="superscript"/>
                <w:rtl w:val="0"/>
              </w:rPr>
              <w:t xml:space="preserve">1</w:t>
            </w:r>
            <w:r w:rsidR="00000000" w:rsidRPr="00000000" w:rsidDel="00000000">
              <w:rPr>
                <w:rtl w:val="0"/>
              </w:rPr>
              <w:t xml:space="preserve">, 19.</w:t>
            </w:r>
            <w:r w:rsidR="00000000" w:rsidRPr="00000000" w:rsidDel="00000000">
              <w:rPr>
                <w:vertAlign w:val="superscript"/>
                <w:rtl w:val="0"/>
              </w:rPr>
              <w:t xml:space="preserve">1</w:t>
            </w:r>
            <w:r w:rsidR="00000000" w:rsidRPr="00000000" w:rsidDel="00000000">
              <w:rPr>
                <w:rtl w:val="0"/>
              </w:rPr>
              <w:t xml:space="preserve">, 27. un 28. punktā, 25.</w:t>
            </w:r>
            <w:r w:rsidR="00000000" w:rsidRPr="00000000" w:rsidDel="00000000">
              <w:rPr>
                <w:vertAlign w:val="superscript"/>
                <w:rtl w:val="0"/>
              </w:rPr>
              <w:t xml:space="preserve">4</w:t>
            </w:r>
            <w:r w:rsidR="00000000" w:rsidRPr="00000000" w:rsidDel="00000000">
              <w:rPr>
                <w:rtl w:val="0"/>
              </w:rPr>
              <w:t xml:space="preserve"> panta trešajā daļā, 32.</w:t>
            </w:r>
            <w:r w:rsidR="00000000" w:rsidRPr="00000000" w:rsidDel="00000000">
              <w:rPr>
                <w:vertAlign w:val="superscript"/>
                <w:rtl w:val="0"/>
              </w:rPr>
              <w:t xml:space="preserve">1</w:t>
            </w:r>
            <w:r w:rsidR="00000000" w:rsidRPr="00000000" w:rsidDel="00000000">
              <w:rPr>
                <w:rtl w:val="0"/>
              </w:rPr>
              <w:t xml:space="preserve"> panta piektajā daļā, 32.</w:t>
            </w:r>
            <w:r w:rsidR="00000000" w:rsidRPr="00000000" w:rsidDel="00000000">
              <w:rPr>
                <w:vertAlign w:val="superscript"/>
                <w:rtl w:val="0"/>
              </w:rPr>
              <w:t xml:space="preserve">2</w:t>
            </w:r>
            <w:r w:rsidR="00000000" w:rsidRPr="00000000" w:rsidDel="00000000">
              <w:rPr>
                <w:rtl w:val="0"/>
              </w:rPr>
              <w:t xml:space="preserve"> panta otrajā daļā, 48. panta 1.</w:t>
            </w:r>
            <w:r w:rsidR="00000000" w:rsidRPr="00000000" w:rsidDel="00000000">
              <w:rPr>
                <w:vertAlign w:val="superscript"/>
                <w:rtl w:val="0"/>
              </w:rPr>
              <w:t xml:space="preserve">3</w:t>
            </w:r>
            <w:r w:rsidR="00000000" w:rsidRPr="00000000" w:rsidDel="00000000">
              <w:rPr>
                <w:rtl w:val="0"/>
              </w:rPr>
              <w:t xml:space="preserve"> daļā, 51. panta </w:t>
            </w:r>
            <w:r w:rsidR="00000000" w:rsidRPr="00000000" w:rsidDel="00000000">
              <w:rPr>
                <w:b w:val="1"/>
                <w:u w:val="single"/>
                <w:rtl w:val="0"/>
              </w:rPr>
              <w:t xml:space="preserve">septītajā</w:t>
            </w:r>
            <w:r w:rsidR="00000000" w:rsidRPr="00000000" w:rsidDel="00000000">
              <w:rPr>
                <w:rtl w:val="0"/>
              </w:rPr>
              <w:t xml:space="preserve"> daļā un 52.</w:t>
            </w:r>
            <w:r w:rsidR="00000000" w:rsidRPr="00000000" w:rsidDel="00000000">
              <w:rPr>
                <w:vertAlign w:val="superscript"/>
                <w:rtl w:val="0"/>
              </w:rPr>
              <w:t xml:space="preserve">1</w:t>
            </w:r>
            <w:r w:rsidR="00000000" w:rsidRPr="00000000" w:rsidDel="00000000">
              <w:rPr>
                <w:rtl w:val="0"/>
              </w:rPr>
              <w:t xml:space="preserve"> panta trešajā daļā minēto Ministru kabineta noteikumu izdošanai.</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Suharževska (SAM)</w:t>
            </w:r>
          </w:p>
        </w:tc>
      </w:tr>
      <w:tr>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4.</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Anotācija (ex-ante)</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1.3. Pašreizējā situācija, problēmas un risinājumi </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after="240" w:afterAutospacing="0"/>
              <w:spacing w:lineRule="auto" w:line="240"/>
              <w:pBdr/>
              <w:rPr>
                <w:b w:val="1"/>
                <w:rtl w:val="0"/>
              </w:rPr>
            </w:pPr>
            <w:r w:rsidR="00000000" w:rsidRPr="00000000" w:rsidDel="00000000">
              <w:rPr>
                <w:b w:val="1"/>
                <w:rtl w:val="0"/>
              </w:rPr>
              <w:t xml:space="preserve"/>
            </w:r>
            <w:r w:rsidR="00000000" w:rsidRPr="00000000" w:rsidDel="00000000">
              <w:rPr>
                <w:b w:val="1"/>
                <w:rtl w:val="0"/>
              </w:rPr>
              <w:t xml:space="preserve">Priekšlikums</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Lūdzam likumprojekta anotācijas 1.3. sadaļas "Pašreizējā situācija, problēmas un risinājumi" 2.punktā salāgot tekstu ar ietverto saīsinājumu "kuģu aģents", ņemot vērā, ka tekstā tiek lietots gan saīsinājums "kuģu aģents", gan "kuģa aģents". Vienlaikus vēršam uzmanību, ka Jūras kodeksa 112.panta ceturtajā daļā ir ietverts termins "kuģa aģents".</w:t>
            </w:r>
          </w:p>
          <w:p w:rsidP="00000000" w:rsidRDefault="00000000" w:rsidR="00000000" w:rsidRPr="00000000" w:rsidDel="00000000">
            <w:pPr>
              <w:contextualSpacing w:val="0"/>
              <w:spacing w:before="240" w:beforeAutospacing="0"/>
              <w:spacing w:after="240" w:afterAutospacing="0"/>
              <w:spacing w:lineRule="auto" w:line="240"/>
              <w:pBdr/>
              <w:rPr>
                <w:i w:val="1"/>
                <w:rtl w:val="0"/>
              </w:rPr>
            </w:pPr>
            <w:r w:rsidR="00000000" w:rsidRPr="00000000" w:rsidDel="00000000">
              <w:rPr>
                <w:i w:val="1"/>
                <w:rtl w:val="0"/>
              </w:rPr>
              <w:t xml:space="preserve"/>
            </w:r>
            <w:r w:rsidR="00000000" w:rsidRPr="00000000" w:rsidDel="00000000">
              <w:rPr>
                <w:i w:val="1"/>
                <w:rtl w:val="0"/>
              </w:rPr>
              <w:t xml:space="preserve">Piedāvātā redakcija</w:t>
            </w:r>
          </w:p>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w:t>
            </w:r>
          </w:p>
        </w:tc>
        <w:tc>
          <w:tcPr>
            <w:shd w:fill="ffffff"/>
            <w:vAlign w:val="top"/>
            <w:noWrap w:val="true"/>
            <w:tcMar>
              <w:top w:w="75.0" w:type="dxa"/>
              <w:left w:w="75.0" w:type="dxa"/>
              <w:bottom w:w="75.0" w:type="dxa"/>
              <w:right w:w="75.0" w:type="dxa"/>
            </w:tcMar>
          </w:tcPr>
          <w:p w:rsidP="00000000" w:rsidRDefault="00000000" w:rsidR="00000000" w:rsidRPr="00000000" w:rsidDel="00000000">
            <w:pPr>
              <w:contextualSpacing w:val="0"/>
              <w:spacing w:lineRule="auto" w:line="240"/>
              <w:pBdr/>
            </w:pPr>
            <w:r w:rsidR="00000000" w:rsidRPr="00000000" w:rsidDel="00000000">
              <w:rPr>
                <w:rtl w:val="0"/>
              </w:rPr>
              <w:t xml:space="preserve"/>
            </w:r>
            <w:r w:rsidR="00000000" w:rsidRPr="00000000" w:rsidDel="00000000">
              <w:rPr>
                <w:rtl w:val="0"/>
              </w:rPr>
              <w:t xml:space="preserve">Beatrise Suharževska (SAM)</w:t>
            </w:r>
          </w:p>
        </w:tc>
      </w:tr>
    </w:tbl>
    <w:sectPr>
      <w:headerReference r:id="rId7" w:type="default"/>
      <w:headerReference r:id="rId8" w:type="first"/>
      <w:footerReference r:id="rId2" w:type="default"/>
      <w:footerReference r:id="rId3" w:type="first"/>
      <w:titlePg w:val="true"/>
      <w:pgSz w:w="11908" w:h="16833" w:orient="portrait"/>
      <w:pgMar w:top="1133" w:bottom="1133" w:left="1133" w:right="1133"/>
    </w:sectPr>
  </w:body>
</w:document>
</file>

<file path=word/fontTable.xml><?xml version="1.0" encoding="utf-8"?>
<w:font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font w:name="Arial"/>
  <w:font w:name="Trebuchet MS"/>
</w:fonts>
</file>

<file path=word/footer1.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contextualSpacing w:val="0"/>
      <w:jc w:val="right"/>
    </w:pPr>
    <w:r w:rsidR="00000000" w:rsidRPr="00000000" w:rsidDel="00000000">
      <w:rPr>
        <w:sz w:val="24"/>
        <w:szCs w:val="24"/>
      </w:rPr>
      <w:fldChar w:fldCharType="begin"/>
      <w:instrText xml:space="preserve">PAGE</w:instrText>
      <w:fldChar w:fldCharType="end"/>
    </w:r>
    <w:r w:rsidR="00000000" w:rsidRPr="00000000" w:rsidDel="00000000">
      <w:rPr>
        <w:rtl w:val="0"/>
      </w:rPr>
    </w:r>
  </w:p>
</w:ftr>
</file>

<file path=word/footer2.xml><?xml version="1.0" encoding="utf-8"?>
<w:ft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header1.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14.29</w:t>
    </w:r>
  </w:p>
</w:hdr>
</file>

<file path=word/header2.xml><?xml version="1.0" encoding="utf-8"?>
<w:hdr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p w:rsidP="00000000" w:rsidRDefault="00000000" w:rsidR="00000000" w:rsidRPr="00000000" w:rsidDel="00000000">
    <w:pPr>
      <w:pStyle w:val="header"/>
      <w:contextualSpacing w:val="0"/>
      <w:spacing w:lineRule="auto" w:line="240"/>
      <w:pBdr/>
    </w:pPr>
    <w:r w:rsidR="00000000" w:rsidRPr="00000000" w:rsidDel="00000000">
      <w:rPr>
        <w:rStyle w:val="header"/>
        <w:rtl w:val="0"/>
      </w:rPr>
      <w:t xml:space="preserve"/>
    </w:r>
    <w:r w:rsidR="00000000" w:rsidRPr="00000000" w:rsidDel="00000000">
      <w:rPr>
        <w:rtl w:val="0"/>
      </w:rPr>
      <w:t xml:space="preserve">Atzinumi 22-TA-1054</w:t>
    </w:r>
    <w:r>
      <w:br/>
    </w:r>
    <w:r w:rsidR="00000000" w:rsidRPr="00000000" w:rsidDel="00000000">
      <w:rPr>
        <w:rtl w:val="0"/>
      </w:rPr>
      <w:t xml:space="preserve">Izdrukāts 07.03.2023. 14.29</w:t>
    </w:r>
  </w:p>
</w:hdr>
</file>

<file path=word/numbering.xml><?xml version="1.0" encoding="utf-8"?>
<w:numbering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isplayBackgroundShape w:val="1"/>
  <w:defaultTabStop w:val="720"/>
  <w:compat>
    <w:compatSetting w:val="14" w:name="compatibilityMode" w:uri="http://schemas.microsoft.com/office/word"/>
  </w:compat>
</w:settings>
</file>

<file path=word/styles.xml><?xml version="1.0" encoding="utf-8"?>
<w:styles xmlns:mc="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xmlns:sl="http://schemas.openxmlformats.org/schemaLibrary/2006/main" xmlns:a="http://schemas.openxmlformats.org/drawingml/2006/main" xmlns:pic="http://schemas.openxmlformats.org/drawingml/2006/picture" xmlns:c="http://schemas.openxmlformats.org/drawingml/2006/chart" xmlns:lc="http://schemas.openxmlformats.org/drawingml/2006/lockedCanvas" xmlns:dgm="http://schemas.openxmlformats.org/drawingml/2006/diagram">
  <w:docDefaults>
    <w:rPrDefault>
      <w:rPr>
        <w:rFonts w:cs="Times New Roman" w:hAnsi="Times New Roman" w:eastAsia="Times New Roman" w:ascii="Times New Roman"/>
        <w:b w:val="0"/>
        <w:i w:val="0"/>
        <w:caps w:val="0"/>
        <w:smallCaps w:val="0"/>
        <w:strike w:val="0"/>
        <w:color w:val="333333"/>
        <w:sz w:val="24"/>
        <w:u w:val="none"/>
        <w:vertAlign w:val="baseline"/>
        <w:lang w:val="lv-LV"/>
      </w:rPr>
    </w:rPrDefault>
    <w:pPrDefault>
      <w:pPr>
        <w:keepNext w:val="0"/>
        <w:keepLines w:val="0"/>
        <w:widowControl w:val="1"/>
        <w:spacing w:lineRule="auto" w:before="0" w:after="0" w:line="240"/>
        <w:ind w:left="0" w:right="0" w:firstLine="0"/>
        <w:jc w:val="left"/>
      </w:pPr>
    </w:pPrDefault>
  </w:docDefaults>
  <w:style w:styleId="Normal" w:type="paragraph" w:default="1">
    <w:name w:val="normal"/>
  </w:style>
  <w:style w:styleId="TableNormal" w:type="table" w:default="1">
    <w:name w:val="Table Normal"/>
    <w:pPr>
      <w:spacing w:lineRule="auto" w:line="552.0" w:before="0" w:after="0"/>
    </w:pPr>
  </w:style>
  <w:style w:styleId="Heading1" w:type="paragraph">
    <w:name w:val="heading 1"/>
    <w:basedOn w:val="Normal"/>
    <w:next w:val="Normal"/>
    <w:pPr>
      <w:keepNext w:val="0"/>
      <w:keepLines w:val="0"/>
      <w:widowControl w:val="1"/>
      <w:spacing w:lineRule="auto" w:after="120"/>
      <w:contextualSpacing w:val="1"/>
    </w:pPr>
    <w:rPr>
      <w:rFonts w:cs="Palatino" w:hAnsi="Palatino" w:eastAsia="Palatino" w:ascii="Palatino"/>
      <w:sz w:val="36"/>
    </w:rPr>
  </w:style>
  <w:style w:styleId="Heading2" w:type="paragraph">
    <w:name w:val="heading 2"/>
    <w:basedOn w:val="Normal"/>
    <w:next w:val="Normal"/>
    <w:pPr>
      <w:keepNext w:val="0"/>
      <w:keepLines w:val="0"/>
      <w:widowControl w:val="1"/>
      <w:spacing w:lineRule="auto" w:before="120" w:after="160"/>
      <w:contextualSpacing w:val="1"/>
    </w:pPr>
    <w:rPr>
      <w:rFonts w:cs="Arial" w:hAnsi="Arial" w:eastAsia="Arial" w:ascii="Arial"/>
      <w:b w:val="1"/>
      <w:sz w:val="26"/>
    </w:rPr>
  </w:style>
  <w:style w:styleId="Heading3" w:type="paragraph">
    <w:name w:val="heading 3"/>
    <w:basedOn w:val="Normal"/>
    <w:next w:val="Normal"/>
    <w:pPr>
      <w:keepNext w:val="0"/>
      <w:keepLines w:val="0"/>
      <w:widowControl w:val="1"/>
      <w:spacing w:lineRule="auto" w:before="120" w:after="160"/>
      <w:contextualSpacing w:val="1"/>
    </w:pPr>
    <w:rPr>
      <w:rFonts w:cs="Arial" w:hAnsi="Arial" w:eastAsia="Arial" w:ascii="Arial"/>
      <w:b w:val="1"/>
      <w:i w:val="1"/>
      <w:color w:val="666666"/>
      <w:sz w:val="24"/>
    </w:rPr>
  </w:style>
  <w:style w:styleId="Heading4" w:type="paragraph">
    <w:name w:val="heading 4"/>
    <w:basedOn w:val="Normal"/>
    <w:next w:val="Normal"/>
    <w:pPr>
      <w:keepNext w:val="0"/>
      <w:keepLines w:val="0"/>
      <w:widowControl w:val="1"/>
      <w:spacing w:lineRule="auto" w:before="120" w:after="120"/>
      <w:contextualSpacing w:val="1"/>
    </w:pPr>
    <w:rPr>
      <w:rFonts w:cs="Palatino" w:hAnsi="Palatino" w:eastAsia="Palatino" w:ascii="Palatino"/>
      <w:b w:val="1"/>
      <w:sz w:val="24"/>
    </w:rPr>
  </w:style>
  <w:style w:styleId="Heading5" w:type="paragraph">
    <w:name w:val="heading 5"/>
    <w:basedOn w:val="Normal"/>
    <w:next w:val="Normal"/>
    <w:pPr>
      <w:keepNext w:val="0"/>
      <w:keepLines w:val="0"/>
      <w:widowControl w:val="1"/>
      <w:spacing w:lineRule="auto" w:before="120" w:after="120"/>
      <w:contextualSpacing w:val="1"/>
    </w:pPr>
    <w:rPr>
      <w:rFonts w:cs="Arial" w:hAnsi="Arial" w:eastAsia="Arial" w:ascii="Arial"/>
      <w:b w:val="1"/>
      <w:sz w:val="22"/>
    </w:rPr>
  </w:style>
  <w:style w:styleId="Heading6" w:type="paragraph">
    <w:name w:val="heading 6"/>
    <w:basedOn w:val="Normal"/>
    <w:next w:val="Normal"/>
    <w:pPr>
      <w:keepNext w:val="0"/>
      <w:keepLines w:val="0"/>
      <w:widowControl w:val="1"/>
      <w:spacing w:lineRule="auto" w:before="120" w:after="120"/>
      <w:contextualSpacing w:val="1"/>
    </w:pPr>
    <w:rPr>
      <w:rFonts w:cs="Arial" w:hAnsi="Arial" w:eastAsia="Arial" w:ascii="Arial"/>
      <w:i w:val="1"/>
      <w:color w:val="666666"/>
      <w:sz w:val="22"/>
      <w:u w:val="single"/>
    </w:rPr>
  </w:style>
  <w:style w:styleId="Title" w:type="paragraph">
    <w:name w:val="title"/>
    <w:basedOn w:val="Normal"/>
    <w:next w:val="Normal"/>
    <w:pPr>
      <w:keepNext w:val="0"/>
      <w:keepLines w:val="0"/>
      <w:widowControl w:val="1"/>
      <w:contextualSpacing w:val="1"/>
    </w:pPr>
    <w:rPr>
      <w:rFonts w:cs="Palatino" w:hAnsi="Palatino" w:eastAsia="Palatino" w:ascii="Palatino"/>
      <w:sz w:val="60"/>
    </w:rPr>
  </w:style>
  <w:style w:styleId="Subtitle" w:type="paragraph">
    <w:name w:val="subtitle"/>
    <w:basedOn w:val="Normal"/>
    <w:next w:val="Normal"/>
    <w:pPr>
      <w:keepNext w:val="0"/>
      <w:keepLines w:val="0"/>
      <w:widowControl w:val="1"/>
      <w:spacing w:lineRule="auto" w:before="60"/>
      <w:contextualSpacing w:val="1"/>
    </w:pPr>
    <w:rPr>
      <w:rFonts w:cs="Arial" w:hAnsi="Arial" w:eastAsia="Arial" w:ascii="Arial"/>
      <w:sz w:val="28"/>
    </w:rPr>
  </w:style>
  <w:style w:styleId="paragraph" w:type="paragraph">
    <w:name w:val="paragraph"/>
    <w:basedOn w:val="Normal"/>
    <w:next w:val="Normal"/>
    <w:pPr>
      <w:keepNext w:val="0"/>
      <w:keepLines w:val="0"/>
      <w:widowControl w:val="1"/>
      <w:spacing w:lineRule="auto" w:line="240"/>
      <w:contextualSpacing w:val="1"/>
    </w:pPr>
    <w:rPr/>
  </w:style>
  <w:style w:styleId="title_paragraph" w:type="paragraph">
    <w:name w:val="title_paragraph"/>
    <w:basedOn w:val="Normal"/>
    <w:next w:val="Normal"/>
    <w:pPr>
      <w:keepNext w:val="0"/>
      <w:keepLines w:val="0"/>
      <w:widowControl w:val="1"/>
      <w:spacing w:lineRule="auto" w:before="280"/>
      <w:contextualSpacing w:val="1"/>
    </w:pPr>
    <w:rPr>
      <w:b w:val="1"/>
      <w:sz w:val="24"/>
    </w:rPr>
  </w:style>
  <w:style w:styleId="header" w:type="paragraph">
    <w:name w:val="header"/>
    <w:basedOn w:val="Normal"/>
    <w:next w:val="Normal"/>
    <w:pPr>
      <w:keepNext w:val="0"/>
      <w:keepLines w:val="0"/>
      <w:widowControl w:val="1"/>
      <w:spacing w:lineRule="auto" w:after="280" w:line="240"/>
      <w:contextualSpacing w:val="1"/>
      <w:jc w:val="right"/>
    </w:pPr>
    <w:rPr>
      <w:sz w:val="24"/>
    </w:rPr>
  </w:style>
  <w:style w:styleId="bold_paragraph" w:type="paragraph">
    <w:name w:val="bold_paragraph"/>
    <w:basedOn w:val="Normal"/>
    <w:next w:val="Normal"/>
    <w:pPr>
      <w:keepNext w:val="0"/>
      <w:keepLines w:val="0"/>
      <w:widowControl w:val="1"/>
      <w:spacing w:lineRule="auto" w:line="240"/>
      <w:contextualSpacing w:val="1"/>
      <w:jc w:val="left"/>
    </w:pPr>
    <w:rPr>
      <w:rFonts w:cs="Times New Roman" w:hAnsi="Times New Roman" w:eastAsia="Times New Roman" w:ascii="Times New Roman"/>
      <w:b w:val="1"/>
      <w:sz w:val="24"/>
    </w:rPr>
  </w:style>
  <w:style w:styleId="DefaultTable" w:type="table">
    <w:basedOn w:val="TableNormal"/>
    <w:tblPr>
      <w:tblStyleRowBandSize w:val="1"/>
      <w:tblStyleColBandSize w:val="1"/>
    </w:tblPr>
    <w:tblStylePr w:type="band1Horz"/>
    <w:tblStylePr w:type="band1Vert"/>
    <w:tblStylePr w:type="band2Horz"/>
    <w:tblStylePr w:type="band2Vert"/>
    <w:tblStylePr w:type="firstCol"/>
    <w:tblStylePr w:type="firstRow"/>
    <w:tblStylePr w:type="lastCol"/>
    <w:tblStylePr w:type="lastRow"/>
    <w:tblStylePr w:type="neCell"/>
    <w:tblStylePr w:type="nwCell"/>
    <w:tblStylePr w:type="seCell"/>
    <w:tblStylePr w:type="swCell"/>
  </w:style>
</w:styles>
</file>

<file path=word/_rels/document.xml.rels><?xml version="1.0" encoding="UTF-8" standalone="yes"?>
<Relationships xmlns="http://schemas.openxmlformats.org/package/2006/relationships"><Relationship Target="fontTable.xml" Type="http://schemas.openxmlformats.org/officeDocument/2006/relationships/fontTable" Id="rId1"/><Relationship Target="footer1.xml" Type="http://schemas.openxmlformats.org/officeDocument/2006/relationships/footer" Id="rId2"/><Relationship Target="footer2.xml" Type="http://schemas.openxmlformats.org/officeDocument/2006/relationships/footer" Id="rId3"/><Relationship Target="numbering.xml" Type="http://schemas.openxmlformats.org/officeDocument/2006/relationships/numbering" Id="rId4"/><Relationship Target="settings.xml" Type="http://schemas.openxmlformats.org/officeDocument/2006/relationships/settings" Id="rId5"/><Relationship Target="styles.xml" Type="http://schemas.openxmlformats.org/officeDocument/2006/relationships/styles" Id="rId6"/><Relationship Target="header1.xml" Type="http://schemas.openxmlformats.org/officeDocument/2006/relationships/header" Id="rId7"/><Relationship Target="header2.xml" Type="http://schemas.openxmlformats.org/officeDocument/2006/relationships/header" Id="rId8"/></Relationships>

</file>

<file path=docProps/app.xml><?xml version="1.0" encoding="utf-8"?>
<Properties xmlns="http://schemas.openxmlformats.org/officeDocument/2006/extended-properties" xmlns:vt="http://schemas.openxmlformats.org/officeDocument/2006/docPropsVTypes">
  <Application>Caracal</Applicat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Atzinumi_22-TA-1054.docx</dc:title>
</cp:coreProperties>
</file>

<file path=docProps/custom.xml><?xml version="1.0" encoding="utf-8"?>
<Properties xmlns="http://schemas.openxmlformats.org/officeDocument/2006/custom-properties" xmlns:vt="http://schemas.openxmlformats.org/officeDocument/2006/docPropsVTypes"/>
</file>