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Tehniskās prasības navigācijas tehniskajiem līdzekļiem un to darbības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attiecībā uz ietekmi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fiziskām personām ir minēts, ka noteikumu projektā ietvertie informācijas sniegšanas un aktualizēšanas pienākumi var attiekties arī uz fiziskajām personām, savukārt praksē nepastāv fiziskas personas, kuras ir privāto navigācijas tehnisko līdzekļu valdītāji, </w:t>
            </w:r>
            <w:r w:rsidR="00000000" w:rsidRPr="00000000" w:rsidDel="00000000">
              <w:rPr>
                <w:b w:val="1"/>
                <w:rtl w:val="0"/>
              </w:rPr>
              <w:t xml:space="preserve">tādēļ administratīvo izmaksu monetārais novērtējums anotācijas 2.3. apakšpunktā ir veikts tikai attiecībā uz juridiskajām personām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ietekmes aprakstā juridiskām personām ir minēts ka, noteikumu projektā ietvertie informācijas sniegšanas un aktualizēšanas pienākumi var attiekties arī uz juridisko personu statusā esošiem navigācijas tehnisko līdzekļu valdītājiem, tomēr praksē nepastāv šādi navigācijas tehnisko līdzekļu valdītāji, </w:t>
            </w:r>
            <w:r w:rsidR="00000000" w:rsidRPr="00000000" w:rsidDel="00000000">
              <w:rPr>
                <w:b w:val="1"/>
                <w:rtl w:val="0"/>
              </w:rPr>
              <w:t xml:space="preserve">tādēļ administratīvo izmaksu monetārais novērtējums anotācijas 2.3. apakšpunktā attiecībā uz juridisko personu statusā esošiem navigācijas tehnisko līdzekļu valdītājiem netiek veikts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pretrunu starp iepriekš minētajiem apgalvojumiem.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juridisko personu ietekmes sadaļā ir identificēta mērķa grupa "Ostu pārvaldes", bet aprakstā nav minēta projekta ietekme uz tām. Tajā pašā laikā anotācijas 2.3. apakšpunktā ir veikts administratīvā sloga samazinājuma aprēķins "Ostu pārvaldēm", kur aprēķina skaidrojuma sadaļā ir norādītas atsauces uz noteikumu punktiem, kuros navigācijas tehnisko līdzekļu valdītājiem ir noteikti informācijas sniegšanas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3.2. apakšpunktā ietverto navigācijas līdzekļu valdītāja definīciju, kā arī noteikumu 6. punktā noteikto navigācijas līdzekļu apsaimniekošanas kārtību, no anotācijā sniegtās informācijas nav saprotams, kādēļ vienlaikus tiek secināts, ka praksē nepastāv juridisko personu statusā esoši navigācijas tehnisko līdzekļu valdītāji, bet administratīvā sloga monetārais novērtējums tiek veikts tieši attiecībā uz ostu pārvaldēm.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informāciju, skaidri identificējot mērķa grupas, uz kurām attiecas noteikumos paredzētie informācijas sniegšanas pienākumi, kā arī papildināt ietekmes aprakstu attiecībā uz ostu pārvaldēm un nodrošināt savstarpēji saskaņotu informācijas atspoguļojumu anotācijas 2.1. un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26-TA-725</w:t>
    </w:r>
    <w:r>
      <w:br/>
    </w:r>
    <w:r w:rsidR="00000000" w:rsidRPr="00000000" w:rsidDel="00000000">
      <w:rPr>
        <w:rtl w:val="0"/>
      </w:rPr>
      <w:t xml:space="preserve">Izdrukāts 02.07.2026.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26-TA-725</w:t>
    </w:r>
    <w:r>
      <w:br/>
    </w:r>
    <w:r w:rsidR="00000000" w:rsidRPr="00000000" w:rsidDel="00000000">
      <w:rPr>
        <w:rtl w:val="0"/>
      </w:rPr>
      <w:t xml:space="preserve">Izdrukāts 02.07.2026.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Atzinumi_26-TA-725.docx</dc:title>
</cp:coreProperties>
</file>

<file path=docProps/custom.xml><?xml version="1.0" encoding="utf-8"?>
<Properties xmlns="http://schemas.openxmlformats.org/officeDocument/2006/custom-properties" xmlns:vt="http://schemas.openxmlformats.org/officeDocument/2006/docPropsVTypes"/>
</file>