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projekta īstenošanas un finansējuma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VI.nodaļu ar punktu, ka finansējuma saņēmējs uzņemas segt sadārdzinājumu, nodrošina nepārklāšanās principu ar citiem valsts un ārvalstu finanšu atbalsta instrumentiem un dubultā finansējuma neiestāšanos.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Projekta īstenošanas laikā finansējuma saņēmējs var saņemt avansa maksājumu saskaņā ar pakalpojumu vai preču piegādes līgumu un normatīvo aktu par valsts budžeta līdzekļu plānošanas kārtību Eiropas Savienības fondu projektu īstenošanai un maksājumu veikšanai 2021. – 2027. gada plānošanas periodā. Sadarbības iestāde, pamatojoties uz finansējuma saņēmēja pieprasījumu un atbilstoši projekta plānoto maksājumu pieprasījumu iesniegšanas grafikam, veic avansa un starpposma maksājumus, ievērojot nosacījumu, ka to kopsumma nepārsniedz 90 procentus no projektam piešķirtā Eiropas Sociālā fonda Plus fonda finansējuma. Avansa maksājumu ir iespējams saņemt vairākos maksājumos.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33.punktu, nosakot, ka avanss ir piešķirams, pamatojoties uz finansējuma saņēmēja rakstisku avansa pieprasījumu un izvērtējot plānotā avansa apmēru, tā pamatojumu un spēju to apgūt 6 mēnešu laikā saimnieciskā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Nr. 8.2. "Cita informācija" svītrot apakšpunktu: "1) norādītas projekta budžeta izmaksu pozīcijas, kuras veicina HP VINPI (ja attiecināms);", ņemot vērā, ka budžets būs balstīts uz vienas vienības izmaksu likmēm, kurās iekļaujamas arī ar HP VINPI saistītās izmaksas. Budžetā nebūs atsevišķi izdalīta izmaksu pozīcija HP VINPI nodrošināšanai.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 - 2027. gada plānošanas perioda vadības likuma 19. panta 6. un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13. jūlija sēdes protokollēmumā (prot. Nr. 36 85. § 3. punkts)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projektu ar normu, kas paredz, ka finansējuma saņēmējs veic izmaksu un ieguvumu analīzi. Atbilstoši lūdzam papildināt arī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sadarbības iestādes funkcijas pilda un slēdz vienošanos par projekta īstenošanu Centrālā finanšu un līgumu aģentūra (turpmāk –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noteikumu projekta 4.punktu, jo punktā noteiktais izriet no Eiropas Savienības fondu 2021-2027.gada plānošanas perioda vadības likuma un  Ministru kabineta 2023.gada 13.jūlija noteikumiem Nr.408 "Kārtība,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plānotais atbalsta veids ir grants (dotācija) ar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"(dotācija) ar nosacījumiem", ņemot vērā, ka noteikumu projektā nav izvirzīti nosacījumi, kuru neizpildes gadījumā finansējuma saņēmējiem būtu daļēji vai pilnībā jāatmaksā grants atbalsta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sagatavo projekta iesniegumu atbilstoši projektu iesniegumu atlases nolikumam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15.punktu, ņemot vērā, ka minētais noteikuma projekta punkts dublē noteikumu projekta 17.punktā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veselības veicināšana un primārās slimību profilakses uzlabošana;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šī punkta ietvaros būs atbalstāmi pasākumi ikvienas veselības jomas ietvaros, piemēram, acu vingrojumi acu veselības veicināšanai un miopijas profilaksei; lekcija par tēmu, kā novērst nierakmeņu slimības attīstību; lekcija par tēmu, kā ceļojumos izvairīties no A hepatīta vai lekcija par 2.tipa diabēta profilaksi. Ja šī punkta ietvaros nev plānota brīva jomu izvēle, tad lūdzam papildināt anotāciju tā, lai FS būtu saprotams, kādas tēmas/jomas šī apakšpunkta ietvaros būtu atbalstāmas. Papildus lūdzam izvērtēt, vai atbalstāmo jomu uzskaitījums nebūtu jāpapildina ar sirds-asinsvadu veselības veicināšanas un slimību profilakses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apakšpunktā minētās atbalstāmās darbības ietvaros attiecināmās izmaksas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 Nr. 2021/1060</w:t>
            </w:r>
            <w:r w:rsidR="00000000" w:rsidRPr="00000000" w:rsidDel="00000000">
              <w:rPr>
                <w:rtl w:val="0"/>
              </w:rPr>
              <w:t xml:space="preserve">)  55. panta 1. punktu projekta iesniegumā plāno kā vienu izmaksu pozīciju, piemērojot izmaksu vienoto likmi 10 procentu apmērā no šo noteikumu </w:t>
            </w:r>
            <w:r w:rsidR="00000000" w:rsidRPr="00000000" w:rsidDel="00000000">
              <w:rPr>
                <w:rtl w:val="0"/>
              </w:rPr>
              <w:t xml:space="preserve">23.</w:t>
            </w:r>
            <w:r w:rsidR="00000000" w:rsidRPr="00000000" w:rsidDel="00000000">
              <w:rPr>
                <w:rtl w:val="0"/>
              </w:rPr>
              <w:t xml:space="preserve"> punktā minētajām pasākuma projekta pārējām tiešajām attiecināmajām īstenošanas izmaksām, kas nav personāla izmaksas, un minētās atbalstāmās darbības ietvaros ir attiecināmas finansējuma saņēmēja vadības personāla un īstenošanas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nosakot izmaksas no kurām aprēķina atlīdzības izmaksas, piemērojot izmaksu vienoto likmi 10% apmērā, nav atbilstošāk atsaukties uz MK noteikumu 23.2.apakšpunktu (nevis 23.punktu) un, ja nepieiciešams, tad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19.</w:t>
            </w:r>
            <w:r w:rsidR="00000000" w:rsidRPr="00000000" w:rsidDel="00000000">
              <w:rPr>
                <w:rtl w:val="0"/>
              </w:rPr>
              <w:t xml:space="preserve"> punktā minēto atbalstāmo darbību īstenošanai ir attiecināmas projekta netiešās attiecināmās izmaksas, ko projekta iesniegumā plāno kā vienu izmaksu pozīciju, piemērojot netiešo izmaksu vienoto likmi 15 (piecpadsmit) procentu apmērā no šo noteikumu </w:t>
            </w:r>
            <w:r w:rsidR="00000000" w:rsidRPr="00000000" w:rsidDel="00000000">
              <w:rPr>
                <w:rtl w:val="0"/>
              </w:rPr>
              <w:t xml:space="preserve">20.</w:t>
            </w:r>
            <w:r w:rsidR="00000000" w:rsidRPr="00000000" w:rsidDel="00000000">
              <w:rPr>
                <w:rtl w:val="0"/>
              </w:rPr>
              <w:t xml:space="preserve"> punktā minētajām tiešajām personāla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netiešo izmaksu segšanai piemērot 7% likmi, ko aprēķina no tiešajām attiecināmajām izmaksām, paredzot, ka tās ietvaros tiek segtas veselības veicināšanas un slimību profilakses pasākumu īstenošanai nepieciešamās inventāra, transporta, obligātās publicitātes un administratīvās izmaksas. Gadījumā, ja tiek lemts piemērot 7% likmi, lūdzam precizēt anotācijā pasākumu veidu uzskaitījumu, dzēšot vairākiem pasākumiem piebildi "ar vai bez transporta", kā arī atbilstoši precizējams anotācijā pārējo tiešo attiecināmo izmaksu apraksts, dzēšot transporta un inventāra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Bergmane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19.</w:t>
            </w:r>
            <w:r w:rsidR="00000000" w:rsidRPr="00000000" w:rsidDel="00000000">
              <w:rPr>
                <w:rtl w:val="0"/>
              </w:rPr>
              <w:t xml:space="preserve"> punktā minēto atbalstāmo darbību īstenošanai ir attiecināmas projekta netiešās attiecināmās izmaksas, ko projekta iesniegumā plāno kā vienu izmaksu pozīciju, piemērojot netiešo izmaksu vienoto likmi 15 (piecpadsmit) procentu apmērā no šo noteikumu </w:t>
            </w:r>
            <w:r w:rsidR="00000000" w:rsidRPr="00000000" w:rsidDel="00000000">
              <w:rPr>
                <w:rtl w:val="0"/>
              </w:rPr>
              <w:t xml:space="preserve">20.</w:t>
            </w:r>
            <w:r w:rsidR="00000000" w:rsidRPr="00000000" w:rsidDel="00000000">
              <w:rPr>
                <w:rtl w:val="0"/>
              </w:rPr>
              <w:t xml:space="preserve"> punktā minētajām tiešajām personāla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pašlaik tiek meklēti iespējami labākie vienkāršoto izmaksu risinājumi šī pasākuma ietvaros, t.sk. netiešajām izmaksām, lūdzam izvērtēt un veikt nepieciešamos precizējumus MK noteikumu projektā un anotācijā atbilstoši izvēlētajiem risinājumiem.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w:t>
            </w:r>
            <w:r w:rsidR="00000000" w:rsidRPr="00000000" w:rsidDel="00000000">
              <w:rPr>
                <w:rtl w:val="0"/>
              </w:rPr>
              <w:t xml:space="preserve">19.</w:t>
            </w:r>
            <w:r w:rsidR="00000000" w:rsidRPr="00000000" w:rsidDel="00000000">
              <w:rPr>
                <w:rtl w:val="0"/>
              </w:rPr>
              <w:t xml:space="preserve"> punktā minēto atbalstāmo darbību īstenošanai ir attiecināmi neparedzētie izdevumi līdz pieciem procentiem no projekta kopējā finansējuma, ko projekta iesniegumā plāno kā vienu izmaksu pozīciju un izmanto šo noteikumu </w:t>
            </w:r>
            <w:r w:rsidR="00000000" w:rsidRPr="00000000" w:rsidDel="00000000">
              <w:rPr>
                <w:rtl w:val="0"/>
              </w:rPr>
              <w:t xml:space="preserve">19.</w:t>
            </w:r>
            <w:r w:rsidR="00000000" w:rsidRPr="00000000" w:rsidDel="00000000">
              <w:rPr>
                <w:rtl w:val="0"/>
              </w:rPr>
              <w:t xml:space="preserve"> punktā minēto projekta pārējo tiešo attiecināmo īstenošanas papildu izmaksu segšanai, kas neparedzamu apstākļu dēļ ir kļuvušas nepieciešamas projekta īstenošanai. Neparedzēto izdevumu izlietošanu pirms izdevumu veikšanas finansējuma saņēmējs saskaņo ar sadarbības iestādi, kā to nosaka vienošanās par projekta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katrā SAM minētais procentuālais apmērs ir jāizvērtē individuāli, atkarībā no tā, cik apjomīgus un sarežģītus projektus paredzēts īstenot attiecīgajā SAM, taču tas kopumā nedrīkst pārsniegt 5 % no kopējo tiešo attiecināmo izmaksu summas. Līdz ar to lūdzam anotācijā iekļaut pamatojumu, kāpēc konkrētajā SAM nosaka procentuālo neparedzēto izdevumu tieši tādā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Projekta īstenošanas laikā finansējuma saņēmējs var saņemt avansa maksājumu saskaņā ar pakalpojumu vai preču piegādes līgumu un normatīvo aktu par valsts budžeta līdzekļu plānošanas kārtību Eiropas Savienības fondu projektu īstenošanai un maksājumu veikšanai 2021. – 2027. gada plānošanas periodā. Sadarbības iestāde, pamatojoties uz finansējuma saņēmēja pieprasījumu un atbilstoši projekta plānoto maksājumu pieprasījumu iesniegšanas grafikam, veic avansa un starpposma maksājumus, ievērojot nosacījumu, ka to kopsumma nepārsniedz 90 procentus no projektam piešķirtā Eiropas Sociālā fonda Plus fonda finansējuma. Avansa maksājumu ir iespējams saņemt vairākos maksājumos.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avansa apjoma procentuālajā ierobežojumā nebūtu iekļaujams arī valsts budžeta finansējums, nevis tikai ESF+ finansējums un, ja nepieciešams, tad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Pasākuma ietvaros finansējuma saņēmējs projektu īsteno saskaņā ar vienošanos par projekta īstenošanu, kas noslēgts starp finansējuma saņēmēju un sadarbības iestādi,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34.punktā vārdus "kas noslēgts starp finansējuma saņēmēju un sadarbības iestādi", ņemot vērā, ka tas izriet no Eiropas Savienības fondu 2021-2027.gada plānošanas perioda vadības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teikumā "4.1.2.2.pasākuma specifika ir plaši masveida veselības veicināšanas un slimību profilakses pasākumi, kampaņas pētījumi, kur nav iespējama dalībnieku uzskaite intervēšana un apzināšana" svītrot kampaņas un pētījumus, ņemot vērā, ka tie attiecas uz 4.1.2.1.pasākumu.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finansējuma dalījumu pa visām intervences kategorijām (Intervences laukums, Finansējuma veids, Teritoriālie sasniegšanas mehānismi, ESF+ sekundārās tēmas un Dzimumu līdztiesība), norādot intervences kodus un tam piemērojamo pasākuma fondu finansējuma apjomu, atbilstoši Programmā (2.1. sadaļa "Informācija par dalījumu par intervences kategorijām") un tā papildinājumā norādītajam. Vēršam uzmanību, ka šobrīd anotācijā ir norādīts tikai finansējuma sadalījums intervences kategorijā "Intervences laukums".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aprakstu par komunikācijas un vizuālās identitātes prasību ievērošanu, aizstājot terminu projekta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2021.-2027.gada plānošanas periodā atbildīgā iestāde specifiskā atbalsta mērķa (turpmāk- SAM), Eiropas Savienības (turpmāk- ES) fondu projektu plānošanas, īstenošanas posmā, tai skaitā, veicot grozījumus SAM īstenošanas kārtībā vai ES fonda projektā, neplāno neattiecināmās izmaksas. Izņēmuma gadījums: Īpaši pamatotos gadījumos ar atsevišķu Ministru kabineta lēmumu var lemt par neattiecināmajām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05.09.2023.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05.09.2023.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