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25-TA-2249: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ceturtās un piektās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Maksimālais attiecināmais Taisnīgas pārkārtošanās fonda finansējuma apmērs nepārsniedz 85 procentus no projekta kopējā attiecināmā finansējuma, vienlaikus ievērojot šo noteikumu </w:t>
            </w:r>
            <w:r w:rsidR="00000000" w:rsidRPr="00000000" w:rsidDel="00000000">
              <w:rPr>
                <w:rtl w:val="0"/>
              </w:rPr>
              <w:t xml:space="preserve">35.</w:t>
            </w:r>
            <w:r w:rsidR="00000000" w:rsidRPr="00000000" w:rsidDel="00000000">
              <w:rPr>
                <w:b w:val="1"/>
                <w:rtl w:val="0"/>
              </w:rPr>
              <w:t xml:space="preserve"> </w:t>
            </w:r>
            <w:r w:rsidR="00000000" w:rsidRPr="00000000" w:rsidDel="00000000">
              <w:rPr>
                <w:rtl w:val="0"/>
              </w:rPr>
              <w:t xml:space="preserve">un </w:t>
            </w:r>
            <w:r w:rsidR="00000000" w:rsidRPr="00000000" w:rsidDel="00000000">
              <w:rPr>
                <w:rtl w:val="0"/>
              </w:rPr>
              <w:t xml:space="preserve">69. </w:t>
            </w:r>
            <w:r w:rsidR="00000000" w:rsidRPr="00000000" w:rsidDel="00000000">
              <w:rPr>
                <w:rtl w:val="0"/>
              </w:rPr>
              <w:t xml:space="preserve">punkta</w:t>
            </w:r>
            <w:r w:rsidR="00000000" w:rsidRPr="00000000" w:rsidDel="00000000">
              <w:rPr>
                <w:rtl w:val="0"/>
              </w:rPr>
              <w:t xml:space="preserve"> nosacījumus. Nacionālais līdzfinansējums, ko veido pašvaldības budžeta vai pašvaldības līdzfinansējums, par kuru nav saņemts komercdarbības atbalsts, vai privātais līdzfinansējums ir vismaz 15 procenti no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stimulētu mitrāju hidroloģiskā režīma atjaunošanu izvēloties apmežošanas veidu, ierosinām palielināt atbalsta likmi apmežošanai ar paludikultūru kokiem (piemēram, melnalksni).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Maksimālais attiecināmais Taisnīgas pārkārtošanās fonda finansējuma apmērs nepārsniedz 95 procentus no projekta kopējā attiecināmā finansējuma pie apmežošanas ar mitrāju hidroloģiskā režīma atjaunošanu (paludikultūru meži) vai 80 procentus pie apmežošanas bez mitrāju hidroloģiskā režīma atjaunošanas, vienlaikus ievērojot šo noteikumu 35. un 69. punkta nosacījumus. Nacionālais līdzfinansējums, ko veido pašvaldības budžeta vai pašvaldības līdzfinansējums, par kuru nav saņemts komercdarbības atbalsts, vai privātais līdzfinansējums ir attiecīgi vismaz 5 vai 20 procenti no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Mednis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Atbalsta saņemšanas nosacījumi, attiecināmās izmaksas un komercdarbības atbalsta regulējums ilggadīgo stādījumu un paludikultūru izveidē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2022/2472 prasībām nepieciešams palidināt noteikumu projektu attiecibā uz regulas 2022/2472 7. panta 3. punkta prasībām par pievienotās vērtības nodokli.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Zelčs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Atbalsta saņemšanas nosacījumi, attiecināmās izmaksas un komercdarbības atbalsta regulējums ilggadīgo stādījumu un paludikultūru izveidē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projektu nepieciešams papildināt vai ir paredzētās, ka piešķirtais komercdarbības atbalsts netiek vai tiek apvienots ar finansējumu no citas atbalsta programmas, kuras finansējums tiek piešķirts no vietējiem, reģionālajiem, valsts vai Eiropas Savienības finanšu līdzekļiem par tām pašām attiecināmajām izmaksām. Ja tiek tad nepiecieš papildināt noteikumu projektu atbilstoši Komisijas 2022. gada 14. decembra Regulas (ES) 2022/2472, ar kuru, piemērojot Līguma par Eiropas Savienības darbību 107. un 108. pantu, dažu kategoriju atbalstu lauksaimniecības un mežsaimniecības nozarē un lauku apvidos atzīst par saderīgu ar iekšējo tirgu (Dokuments attiecas uz EEZ) (Eiropas Savienības Oficiālais Vēstnesis, 2022. gada 21. decembra, Nr. L 327), (turpmāk – regula 2022/2472) 8. panta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Zelčs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58.3. hidrotehnisko un melioratīvo pasākumu izmaksas atbilstoša hidroloģiskā stāvokļa nodrošināšanai,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anotāciju ar informāciju, ka noteikumu 58.3. apakšpunktā noteiktās izmaksas saistītas ar apūdeņošanas sistēmu izveidi ilggadīgo stādījumu ierīkošanas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Zelčs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58.7. barības vielu iegādes un izkliedes izmaksas, tostarp analīžu izmaksas augsnes, ūdens kvalitātes un biogēno elementu novērtēšanai;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regulas 2022/2472 14. pantā atbalsts paredzēts investīciju atbalstam un noteikumu projekta 58.7. apakšpunktā paredzētas izmaksas nav investīcijas, bet gan pārstās darbības izmaksas, kas nav attiecināmas zem 2022/2472 14.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Zelčs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58.9. stādījumu kopšanas, kā mulčēšana (zāģskaidas, frēzkūdra, u.c.), stādījumu ķemmēšanas un stīgu apgriešanas, krūmu veidošanas, nezāļu ierobežošanas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regulas 2022/2472 14. pantā atbalsts paredzēts investīciju atbalstam un noteikumu projekta 58.9. apakšpunktā paredzētas izmaksas nav investīcijas, bet gan pārstās darbības izmaksas, kas nav attiecināmas zem 2022/2472 14.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Zelčs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58.10. kaitēkļu aizsardzības izmaksas, tostarp arī dabisko līdzekļu pret kaitēkļiem izmantošanas izmaksas un slimību un kaitēkļu bojāto zaru utilizācijas un izvākšanas no stādījumiem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regulas 2022/2472 14. pantā atbalsts paredzēts investīciju atbalstam un noteikumu projekta 58.10. apakšpunktā paredzētas izmaksas nav investīcijas, bet gan pārstās darbības izmaksas, kas nav attiecināmas zem 2022/2472 14.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Zelčs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 ilggadīgo stādījumu izveidi īsteno mikrouzņēmumi, mazie un vidējie uzņēmumi un attiecināmas ir šo noteikumu </w:t>
            </w:r>
            <w:r w:rsidR="00000000" w:rsidRPr="00000000" w:rsidDel="00000000">
              <w:rPr>
                <w:rtl w:val="0"/>
              </w:rPr>
              <w:t xml:space="preserve">58.</w:t>
            </w:r>
            <w:r w:rsidR="00000000" w:rsidRPr="00000000" w:rsidDel="00000000">
              <w:rPr>
                <w:rtl w:val="0"/>
              </w:rPr>
              <w:t xml:space="preserve"> un </w:t>
            </w:r>
            <w:r w:rsidR="00000000" w:rsidRPr="00000000" w:rsidDel="00000000">
              <w:rPr>
                <w:rtl w:val="0"/>
              </w:rPr>
              <w:t xml:space="preserve">59.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minētās izmaksas saskaņā ar regulas Nr. 2022/2472 14.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ievietot atsauci uz pilnu regulas nosaukumu un pēc tam turpmāk tekstā lietot regulas saīsinājumu:  “Komisijas 2022. gada 14. decembra Regula (ES) 2022/2472, ar kuru, piemērojot Līguma par Eiropas Savienības darbību 107. un 108. pantu, dažu kategoriju atbalstu lauksaimniecības un mežsaimniecības nozarē un lauku apvidos atzīst par saderīgu ar iekšējo tirgu (Dokuments attiecas uz EEZ) (Eiropas Savienības Oficiālais Vēstnesis, 2022. gada 21. decembra, Nr. L 327), (turpmāk – regula 2022/2472)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Zelčs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neveido monoaudzes lielākas par diviem hektāriem. Ja ieaudzētā monoaudzes platība ir lielāka par diviem hektāriem, tad veido dažādu koku sugu piemistrojumu. Mežaudžu ieaudzēšanai izmanto tās koku sugas, kuras normatīvajiem aktos par meža ieaudzēšanu ir noteiktas kā izmantojamas meža ieaudzēšanai;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Pecizēju, jo normatīvos nav jēdziena "monoaudze" - bet ir "tīraudze"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punktu izteikt: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neveido </w:t>
            </w:r>
            <w:r w:rsidR="00000000" w:rsidRPr="00000000" w:rsidDel="00000000">
              <w:rPr>
                <w:i w:val="1"/>
                <w:rtl w:val="0"/>
              </w:rPr>
              <w:t xml:space="preserve">monoaudzes</w:t>
            </w:r>
            <w:r w:rsidR="00000000" w:rsidRPr="00000000" w:rsidDel="00000000">
              <w:rPr>
                <w:rtl w:val="0"/>
              </w:rPr>
              <w:t xml:space="preserve"> tīraudzes, izņemot priežu tīraudzes, lielākas par diviem hektāriem. Ja ieaudzētā </w:t>
            </w:r>
            <w:r w:rsidR="00000000" w:rsidRPr="00000000" w:rsidDel="00000000">
              <w:rPr>
                <w:i w:val="1"/>
                <w:rtl w:val="0"/>
              </w:rPr>
              <w:t xml:space="preserve">monoaudzes</w:t>
            </w:r>
            <w:r w:rsidR="00000000" w:rsidRPr="00000000" w:rsidDel="00000000">
              <w:rPr>
                <w:rtl w:val="0"/>
              </w:rPr>
              <w:t xml:space="preserve"> tīraudzes platība ir lielāka par diviem hektāriem, tad veido dažādu koku sugu piemistrojumu. Piemistrojumiem grupās maksimālā vienlaidu platība nepārsniedz 0,2 hektārus;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Normunds Knēts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 stādāmā materiāla izcelsmi un piegādi apliecinošu dokumentu kopiju;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"piegādi" jāaizvieto ar "iegādi"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Normunds Knēts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ieaudzētā meža platības skici. Vienā skicē iekļauj vienas darbības īstenošanas teritorijas grafisko attēlu ar piesaisti stigai, trasei, robežzīmei, grāvim, izcirtuma malai mērogā 1: 2000, 1 : 5000 vai 1 : 10 000. Piesaisti nenorāda, ja vismaz vienai no platību ārējām robežām (virsotnēm) ir norādītas koordinātas LKS-92 koordinātu sistēmā, skice var būt zīmēta Valsts meža dienesta ģeogrāfiskajā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ir lieks, jo skice jāiesniedz IT sistēmā - Meža valsts reģistrā un minētais nosacījumu uzskaitījums ir lieks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jādzēš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Normunds Knēts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pārbauda ieaudzētās mežaudzes;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jāpapildina: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Pārbauda ieaudzētās vai agrotehniski koptās mežaudzes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Normunds Knēts (VMD)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25-TA-2249</w:t>
    </w:r>
    <w:r>
      <w:br/>
    </w:r>
    <w:r w:rsidR="00000000" w:rsidRPr="00000000" w:rsidDel="00000000">
      <w:rPr>
        <w:rtl w:val="0"/>
      </w:rPr>
      <w:t xml:space="preserve">Izdrukāts 08.12.2025. 21.09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25-TA-2249</w:t>
    </w:r>
    <w:r>
      <w:br/>
    </w:r>
    <w:r w:rsidR="00000000" w:rsidRPr="00000000" w:rsidDel="00000000">
      <w:rPr>
        <w:rtl w:val="0"/>
      </w:rPr>
      <w:t xml:space="preserve">Izdrukāts 08.12.2025. 21.09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Atzinumi_25-TA-2249.docx</dc:title>
</cp:coreProperties>
</file>

<file path=docProps/custom.xml><?xml version="1.0" encoding="utf-8"?>
<Properties xmlns="http://schemas.openxmlformats.org/officeDocument/2006/custom-properties" xmlns:vt="http://schemas.openxmlformats.org/officeDocument/2006/docPropsVTypes"/>
</file>