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2</w:t>
            </w:r>
            <w:r w:rsidR="00000000" w:rsidRPr="00000000" w:rsidDel="00000000">
              <w:rPr>
                <w:rtl w:val="0"/>
              </w:rPr>
              <w:t xml:space="preserve"> Šo noteikumu ietvaros paredzēto atļauju valsts sabiedrība ar ierobežotu atbildību "Latvijas Valsts ceļi" var neizdot, atcelt vai pārtraukt, balstoties uz pārvadātāja novērtējumu par faktisko rīcību kravu pārvadājumos, ko ierosina Valsts policija.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Satiksmes ministrijas precizētais Ministru kabineta noteikumu projekts “Grozījumi Ministru kabineta 2010. gada 6. aprīļa noteikumos Nr.343 “Noteikumi par lielgabarīta un smagsvara pārvadājumiem””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paredzēto Ministru kabineta 2010. gada 6. aprīļa noteikumu Nr.343 “Noteikumi par lielgabarīta un smagsvara pārvadājumiem” (turpmāk – noteikumi) 24.</w:t>
            </w:r>
            <w:r w:rsidR="00000000" w:rsidRPr="00000000" w:rsidDel="00000000">
              <w:rPr>
                <w:vertAlign w:val="superscript"/>
                <w:rtl w:val="0"/>
              </w:rPr>
              <w:t xml:space="preserve">2</w:t>
            </w:r>
            <w:r w:rsidR="00000000" w:rsidRPr="00000000" w:rsidDel="00000000">
              <w:rPr>
                <w:rtl w:val="0"/>
              </w:rPr>
              <w:t xml:space="preserve"> punktu, kas nosaka valsts sabiedrības ar ierobežotu atbildību “Latvijas Valsts ceļi” tiesības neizdot, atcelt vai pārtraukt lielgabarīta un smagsvara pārvadājumu atļauju, nepieciešams svītrot. Šāds regulējums ir pretrunā ar likuma “Par autoceļiem” 5. panta 6.</w:t>
            </w:r>
            <w:r w:rsidR="00000000" w:rsidRPr="00000000" w:rsidDel="00000000">
              <w:rPr>
                <w:vertAlign w:val="superscript"/>
                <w:rtl w:val="0"/>
              </w:rPr>
              <w:t xml:space="preserve">2</w:t>
            </w:r>
            <w:r w:rsidR="00000000" w:rsidRPr="00000000" w:rsidDel="00000000">
              <w:rPr>
                <w:rtl w:val="0"/>
              </w:rPr>
              <w:t xml:space="preserve"> un septītajā daļā noteikto pilnvarojumu Ministru kabinetam par noteikumu izdošanu, jo pilnvarojumi vai citas likuma normas neparedz veidot regulējumu par tiesībām neizdot, atcelt vai pārtraukt lielgabarīta un smagsvara pārvadājumu atļauju. Vēršam uzmanību, ka šādi lēmumi būs privātpersonai nelabvēlīgi administratīvie akti un tādējādi piedāvātais regulējums ir pretrunā ar Administratīvā procesa likuma 11. pantā noteikto likuma atrunas principu –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Papildus vēlamies norādīt, ka valsts sabiedrība ar ierobežotu atbildību “Latvijas Valsts ceļi” ir uzskatāma par privātpersonu un tai atbilstoši Valsts pārvaldes iekārtas likuma 41. panta trešās daļas 1. punktam valsts pārvaldes uzdevumu par administratīvo aktu izdošanu var deleģēt ar ārējo normatīvo aktu, bet vienlaikus šādos gadījumos nepieciešams pilna apjoma lēmumu tiesiskuma pārbaudes mehānisms, proti, normatīvajos aktos ir jānosaka lēmumu apstrīdēšanas un pārsūdzēšanas procedūra. Šāds regulējums jānosaka ar likumu vai likumā jābūt atbilstošam pilnvarojumam Ministru kabinetam par noteikumos iekļaujamo procedūras regulējumu. Nobeigumā vēlamies norādīt, ka projektā nav vēlams izmantot apzīmējumu “pārvadātāja faktiskā rīcība”, jo Administratīvā procesa likuma 7. nodaļā ir nostiprināts apzīmējums “iestādes faktiskā rīcība”. Šāda terminu pārklāšanās var veidot nepamatotas interpretācijas pārvadātāja rīcības vērtēšanai.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25.08.2025.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25.08.2025.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Atzinumi_25-TA-896.docx</dc:title>
</cp:coreProperties>
</file>

<file path=docProps/custom.xml><?xml version="1.0" encoding="utf-8"?>
<Properties xmlns="http://schemas.openxmlformats.org/officeDocument/2006/custom-properties" xmlns:vt="http://schemas.openxmlformats.org/officeDocument/2006/docPropsVTypes"/>
</file>