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23-TA-187: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2015. gada 26. maija noteikumos Nr. 259 "Atbalsta piešķiršanas kārtība dalībai starptautiskās sadarbības programmās pētniecības un tehnoloģiju jomā"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Grozījums Ministru kabineta 2015. gada 26. maija noteikumos Nr. 259 "Atbalsta piešķiršanas kārtība dalībai starptautiskās sadarbības programmās pētniecības un tehnoloģiju jomā"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atbilstoši anotācijas 1.3. apakšpunkta pašreizējās situācijas aprakstam ir jāveic tehniskas izmaiņas Ministru kabineta 2015.gada 26.maija noteikumu Nr.259 "Atbalsta piešķiršanas kārtība dalībai starptautiskās sadarbības programmās pētniecības un tehnoloģiju jomā" 2.22 apakšpunktā. Norādām, ka atbilstoši Ministru kabineta 2009. gada 3. februāra noteikumu Nr.108 "Normatīvo aktu projektu sagatavošanas noteikumi" 3.</w:t>
            </w:r>
            <w:r w:rsidR="00000000" w:rsidRPr="00000000" w:rsidDel="00000000">
              <w:rPr>
                <w:vertAlign w:val="superscript"/>
                <w:rtl w:val="0"/>
              </w:rPr>
              <w:t xml:space="preserve">1</w:t>
            </w:r>
            <w:r w:rsidR="00000000" w:rsidRPr="00000000" w:rsidDel="00000000">
              <w:rPr>
                <w:rtl w:val="0"/>
              </w:rPr>
              <w:t xml:space="preserve"> punktam grozījumus normatīvajā aktā sagatavo, ja normatīvo aktu nepieciešams grozīt pēc būtības. Savukārt redakcionālus precizējumus sagatavo vienlaikus ar normatīvā akta grozījumiem pēc būtības. Minētā norma ieviesta, lai mazinātu normatīvo aktu grozīšanas biežumu.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pašreizējās anotācijas redakcijas secināms, ka projekts šķietami paredz redakcionālu precizējumu, kas nemaina regulējumu pēc būtības. Pamatojoties uz augtsāk minēto, redakcionālus precizējumus sagatavo vienlaikus ar normatīvā akta grozījumiem pēc būtības, kuri attiecīgajā situācijā nav uzsvērti.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iesakām izvērtēt plānoto grozījumu raksturu. Konstatējot grozījumu būtiskumu, lūdzam: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labot anotācijā ietverto norādi uz to, ka plānotie grozījumi ir tikai tehniski;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izvērstāk skaidrot grozījumu nepieciešamību, norādot uz riskiem un problēmām, kuras plānots novērst, kā arī uzsverot plānoto grozījumu būtisko raksturu.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anotācijas 1.2. apakšpunktā norādīto tiesību akta mērķi. Iesakām mērķi definēt neitrāli un vērstu uz problēmu izraisošo cēloņu mazināšanu vai likvidēšanu ar iespēju novērtēt tā sasniegšanas progresu. Tāpat lūdzam projekta mērķi veidot tā, lai tas nebūtu vienkārši kā tiesību akta izstrāde vai grozījumi tajā.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precizēt anotāciju atbilstoši juridiskās tehnikas prasībām, ievērojot, ka saīsinājumus piesaka pirmajā vietā juridiskajā tekstā, kur lietots attiecīgais saīsināmais jēdziens vai termins. Tāpat pieteiktie saīsinājumi konsekventi lietojami tālāk dokumenta tekstā. Minētais attiecas tostarp uz nepieteiktajiem saīsinājumiem "EuroHPC" un "EUROCC 2".</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8.1.4. uz Nacionālā attīstības plāna rādītājiem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anotācijas 8.1.4. apakšpunkta aprakstā ietvert skaidru un saprotamu informāciju par projekta tiesiskā regulējuma ietekmi uz Nacionālā attīstības plāna rādītājiem. Šobrīd apraksta daļā ietvertie skaitļi nenodrošina pilnvērtīgu projekta ietekmes izpratni.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23-TA-187</w:t>
    </w:r>
    <w:r>
      <w:br/>
    </w:r>
    <w:r w:rsidR="00000000" w:rsidRPr="00000000" w:rsidDel="00000000">
      <w:rPr>
        <w:rtl w:val="0"/>
      </w:rPr>
      <w:t xml:space="preserve">Izdrukāts 10.03.2023. 12.45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23-TA-187</w:t>
    </w:r>
    <w:r>
      <w:br/>
    </w:r>
    <w:r w:rsidR="00000000" w:rsidRPr="00000000" w:rsidDel="00000000">
      <w:rPr>
        <w:rtl w:val="0"/>
      </w:rPr>
      <w:t xml:space="preserve">Izdrukāts 10.03.2023. 12.45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Atzinumi_23-TA-187.docx</dc:title>
</cp:coreProperties>
</file>

<file path=docProps/custom.xml><?xml version="1.0" encoding="utf-8"?>
<Properties xmlns="http://schemas.openxmlformats.org/officeDocument/2006/custom-properties" xmlns:vt="http://schemas.openxmlformats.org/officeDocument/2006/docPropsVTypes"/>
</file>