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3.pielikumā precizēt norādīto nepieciešamo papildu finansējumu pašvaldību budžetā 2026.gadam, ņemot vērā, ka attiecīgajā ailē saskaitīts finansējums, kas neattiecas uz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3.pielikuma ailē “Vidēja termiņa budžeta ietvara likumā plānotais finansējums” precizēt norādītos gadus, ņemot vērā, ka jautājums tiks virzīts izskatīšanai Ministru kabinetā 2026.gadā un ar 2026.gadu ir spēkā likums “Par valsts budžetu 2026. gadam un budžeta ietvaru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akcīzes nodokļa likme dabasgāzei, ko izmanto par degvielu, - 13,45 euro par MWh, ir spēkā no 2026.gada 1.janvāra, rosinām plāna projekta 19.lpp. - 6.punktā iekavās: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vārdu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vārdu "stāsies" ar vārdu "stājās".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13.01.2026. 18.52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13.01.2026. 18.52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