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25-TA-1685: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31. maija noteikumos Nr. 326 "Veterināro zāļu izplatīšanas un kontroles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pilnveidot anotācijas 5. sadaļu, nodrošinot pilnīgu un precīzu informāciju par  projekta atbilstību Latvijas Republikas starptautiskajām saistībām un to izpildes atspoguļojumu. Vēršam uzmanību, ka,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skaidrojumiem projekta 37. punkts ievieš Eiropas Parlamenta un Padomes 2018. gada 11. decembra Regulas (ES) 2019/6 par veterinārajām zālēm un ar ko atceļ Direktīvu 2001/82/EK (turpmāk – Regula 2019/6) 88. panta 2. punktu un izmanto no tās izrietošo rīcības brīvību. Attiecīgi, lūdzam ieviešanu atspoguļot arī anotācijas 5.4. apakšsadaļas 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svītrota regulas 2019/6 128. panta 3. punkta ieviešana, rīcības brīvības izmantošana. Tieslietu ministrijas iepriekš izteiktā iebilduma būtība bija izvērtēt un nodrošināt precīzu regulas prasību ieviešanu, nevis svītrot konkrēto projekta vienību. Proti, ņemt vērā to,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Regulas 2019/6 128. panta 3. punktā paredzēto pasākumu (prasīt, lai imunoloģisko veterināro zāļu tirdzniecības atļaujas turētājs pirms imunoloģisko veterināro zāļu laišanas tirgū iesniegtu kontrolei veterināro zāļu paraugus) var veikt "</w:t>
            </w:r>
            <w:r w:rsidR="00000000" w:rsidRPr="00000000" w:rsidDel="00000000">
              <w:rPr>
                <w:i w:val="1"/>
                <w:rtl w:val="0"/>
              </w:rPr>
              <w:t xml:space="preserve">ja tas nepieciešams ar cilvēku vai dzīvnieku veselību saistītu iemeslu dēļ</w:t>
            </w:r>
            <w:r w:rsidR="00000000" w:rsidRPr="00000000" w:rsidDel="00000000">
              <w:rPr>
                <w:rtl w:val="0"/>
              </w:rPr>
              <w:t xml:space="preserve">", bet projektā norādīts arī uz dzīvnieku labturību un vides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saskaņā ar Līguma par Eiropas Savienības darbību 288. panta otro daļu "regulas ir vispārpiemērojamas. Tās uzliek saistības kopumā un ir tieši piemērojamas visās dalībvalstīs.” Regulas ir aizliegts pārņemt nacionālajos tiesību aktos un tās automātiski kļūst par nacionālās tiesību sistēmas sastāvdaļu.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Tomēr Eiropas Savienības Tiesa ir atzinusi, ka, ja regula prasa tās piemērošanai nodrošinošu nacionālā tiesību akta pieņemšanu, atsevišķos gadījumos tomēr var tikt pieļauta regulu teksta daļu inkorporēšana nacionālajos tiesību aktos (kā piemēru skatīt lietu Nr. 272/83 Komisija v. Itālija). Norādām, ka šis gadījums attaisnots vienīgi ar indivīdu interesēm saņemt tiem adresētu saskaņotu un labi uztveramu tiesību aktu, un regulu tiešā piemērojamība nepieļauj citus izņēmumus.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Izplatot veterinārās narkotiskās un psihotropās zāles un saskaņā ar normatīvajiem aktiem par Latvijā kontrolējamām narkotiskajām vielām, psihotropajām vielām un prekursoriem I sarakstā iekļautās vielas saturošās zāles, kurām paredzēts izņēmums – lietošanai veterinārmedicīniskām manipulācijām (turpmāk – I saraksta zāles), papildus šajos noteikumos noteiktajam ievēro </w:t>
            </w:r>
            <w:r w:rsidR="00000000" w:rsidRPr="00000000" w:rsidDel="00000000">
              <w:rPr>
                <w:rtl w:val="0"/>
              </w:rPr>
              <w:t xml:space="preserve">Narkotisko un psihotropo vielu un zāļu, kā arī prekursoru likumīgās aprites likumā</w:t>
            </w:r>
            <w:r w:rsidR="00000000" w:rsidRPr="00000000" w:rsidDel="00000000">
              <w:rPr>
                <w:rtl w:val="0"/>
              </w:rPr>
              <w:t xml:space="preserve">,</w:t>
            </w:r>
            <w:r w:rsidR="00000000" w:rsidRPr="00000000" w:rsidDel="00000000">
              <w:rPr>
                <w:rtl w:val="0"/>
              </w:rPr>
              <w:t xml:space="preserve"> likumā "</w:t>
            </w:r>
            <w:r w:rsidR="00000000" w:rsidRPr="00000000" w:rsidDel="00000000">
              <w:rPr>
                <w:rtl w:val="0"/>
              </w:rPr>
              <w:t xml:space="preserve">Par Krimināllikuma spēkā stāšanās un piemērošanas kārtību</w:t>
            </w:r>
            <w:r w:rsidR="00000000" w:rsidRPr="00000000" w:rsidDel="00000000">
              <w:rPr>
                <w:rtl w:val="0"/>
              </w:rPr>
              <w:t xml:space="preserve">" un pamatojoties uz šiem likumiem izdotajos normatīvajos aktos noteiktās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projekta 14. punktu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nodrošināt precīzas atsauces uz nacionālajiem tiesību aktiem, jo Ministru kabineta 2005. gada 8. novembra noteikumi Nr. 847 "Noteikumi par Latvijā kontrolējamajām narkotiskajām vielām, psihotropajām vielām un prekursoriem" ir zaudējuši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izvērtēt, vai tiešām papildu šajos noteikumos noteiktajam jāievēro </w:t>
            </w:r>
            <w:r w:rsidR="00000000" w:rsidRPr="00000000" w:rsidDel="00000000">
              <w:rPr>
                <w:u w:val="single"/>
                <w:rtl w:val="0"/>
              </w:rPr>
              <w:t xml:space="preserve">visi</w:t>
            </w:r>
            <w:r w:rsidR="00000000" w:rsidRPr="00000000" w:rsidDel="00000000">
              <w:rPr>
                <w:rtl w:val="0"/>
              </w:rPr>
              <w:t xml:space="preserve"> normatīvie akti, kas izdoti pamatojoties uz likumu "Par Krimināllikuma spēkā stāšanās un piemērošanas kārtību", ņemot vērā, ka to darbības joma ir plaša un skar ne tikai veterinārās narkotiskās un psihotropās zāles.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r w:rsidR="00000000" w:rsidRPr="00000000" w:rsidDel="00000000">
              <w:rPr>
                <w:vertAlign w:val="superscript"/>
                <w:rtl w:val="0"/>
              </w:rPr>
              <w:t xml:space="preserve">1</w:t>
            </w:r>
            <w:r w:rsidR="00000000" w:rsidRPr="00000000" w:rsidDel="00000000">
              <w:rPr>
                <w:rtl w:val="0"/>
              </w:rPr>
              <w:t xml:space="preserve"> Lai pagarinātu termiņu, līdz kuram atļauts ievest un izplatīt veterinārās zāles, lēmuma saņēmējs iesniedz Pārtikas un veterinārajā dienestā brīvas formas iesniegumu par termiņa pagarināšanu ar apliecinājumu, 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atbilstoši juridiskās tehnikas prasībām, lietot vienotu terminoloģiju un ievērot, ka saīsinājumus piesaka pirmajā vietā juridiskajā tekstā, kur lietots attiecīgais saīsināmais jēdziens vai termins. Pieteiktie saīsinājumi konsekventi lietojami tālāk dokumenta tekstā. Piemēram, vienlaikus tiek lietots gan termins "</w:t>
            </w:r>
            <w:r w:rsidR="00000000" w:rsidRPr="00000000" w:rsidDel="00000000">
              <w:rPr>
                <w:i w:val="1"/>
                <w:rtl w:val="0"/>
              </w:rPr>
              <w:t xml:space="preserve">Personu, kas ir šo noteikumu 73.1. apakšpunktā minētā lēmuma adresāts</w:t>
            </w:r>
            <w:r w:rsidR="00000000" w:rsidRPr="00000000" w:rsidDel="00000000">
              <w:rPr>
                <w:rtl w:val="0"/>
              </w:rPr>
              <w:t xml:space="preserve">", gan, piemēram, "lēmuma saņēmējs" vai "inaktivētā autogēnā vakcīna" un "autogēnā vakcīna".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25-TA-1685</w:t>
    </w:r>
    <w:r>
      <w:br/>
    </w:r>
    <w:r w:rsidR="00000000" w:rsidRPr="00000000" w:rsidDel="00000000">
      <w:rPr>
        <w:rtl w:val="0"/>
      </w:rPr>
      <w:t xml:space="preserve">Izdrukāts 13.02.2026. 16.59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25-TA-1685</w:t>
    </w:r>
    <w:r>
      <w:br/>
    </w:r>
    <w:r w:rsidR="00000000" w:rsidRPr="00000000" w:rsidDel="00000000">
      <w:rPr>
        <w:rtl w:val="0"/>
      </w:rPr>
      <w:t xml:space="preserve">Izdrukāts 13.02.2026. 16.59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Atzinumi_25-TA-1685.docx</dc:title>
</cp:coreProperties>
</file>

<file path=docProps/custom.xml><?xml version="1.0" encoding="utf-8"?>
<Properties xmlns="http://schemas.openxmlformats.org/officeDocument/2006/custom-properties" xmlns:vt="http://schemas.openxmlformats.org/officeDocument/2006/docPropsVTypes"/>
</file>