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18. pantu iecerēts Vides aizsardzības likumu papildināt ar 35.</w:t>
            </w:r>
            <w:r w:rsidR="00000000" w:rsidRPr="00000000" w:rsidDel="00000000">
              <w:rPr>
                <w:vertAlign w:val="superscript"/>
                <w:rtl w:val="0"/>
              </w:rPr>
              <w:t xml:space="preserve">10</w:t>
            </w:r>
            <w:r w:rsidR="00000000" w:rsidRPr="00000000" w:rsidDel="00000000">
              <w:rPr>
                <w:rtl w:val="0"/>
              </w:rPr>
              <w:t xml:space="preserve"> pantu, kura pirmajā daļā tiek noteikts: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w:t>
            </w:r>
            <w:r w:rsidR="00000000" w:rsidRPr="00000000" w:rsidDel="00000000">
              <w:rPr>
                <w:u w:val="single"/>
                <w:rtl w:val="0"/>
              </w:rPr>
              <w:t xml:space="preserve">pārreģistrējama</w:t>
            </w:r>
            <w:r w:rsidR="00000000" w:rsidRPr="00000000" w:rsidDel="00000000">
              <w:rPr>
                <w:rtl w:val="0"/>
              </w:rPr>
              <w:t xml:space="preserve">, anulējama vai apturama tās darbība, kā arī par licences izsniegšanu maksājamās valsts nodevas apmēru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1.3. sadaļas risinājuma aprakstā ir minēts, ka Ministru kabineta noteikumos būs noteikta kārtība, "kādā Aizsardzības ministrija Latvijā reģistrētiem komersantiem izsniedz, anulē vai aptur licenci, kas izsniegta darbam ar militāra rakstura sprādzienbīstamiem priekšmetiem un ar nesprāgušu munīciju potenciāli piesārņotu un piesārņotu vietu izpētei un nesprāgušas munīcijas meklēšanai, kā arī par licences izsniegšanu maksājamās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minēto likumprojektā iekļauto deleģējumu uzskaitījumu salāgot ar likumprojektā ietverto deleģējumu, to papildinot ar atsauci, ka Ministru kabinets nosaka arī kārtību, kādā konkrētā licence ir pārreģistrējama.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likumprojekta īstenošanā iesaistītās institūcijas tām noteiktās funkcijas nodrošinās piešķirto budžeta līdzekļu ietvaros, lūdzam skaidrot plašāk anotācijas 1.3. sadaļā norādīto, ka nozares ministrija izskata iespēju izpētes un sanācijas veikšanai piesaistīt valsts budžeta vai citus līdzekļus, jo likumprojekta normas jānodrošina nozaru ministriju esošo valsts budžeta līdzekļu ietvaros neradot negatīvu ietekmi uz valsts budžeta izdevumiem. Informējam, ka šobrīd saskaņā ar valdības apstiprināto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23.07.2025.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23.07.2025.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