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aizsardzības biroja lēmumu, pieprasījumu vai tiesisko pienākumu attiecībā uz informācijas un komunikācijas tehnoloģiju kritisko infrastruktūru, iesniedzot attiecīgu iesniegumu Satversmes aizsardzības biroja direktoram. Satversmes aizsardzības biroja izdoto lēmumu par apstrīdēto šā panta pirmajā daļā minēto lēmumu, pieprasījumu vai tiesisko pienākumu var pārsūdzēt ģenerālprokuroram. Ģenerālprokurora izdotais lēmums par apstrīdēto šā panta otrajā daļā minēto lēmumu, pieprasījumu vai tiesisko pienākumu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normu par Satversmes aizsardzības biroja lēmumu, pieprasījumu vai tiesisko pienākumu pārsūdzības kārtību saskaņot ar Ģenerālprokuratūru. Lūdzam precizēt likumprojekta 12.panta piektās daļas 2.punktu ievērojot analoģiju un principus ar 12.panta piektās daļas 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ievainojamības atklāšanas ziņojumā sniegtā informācijā par ievainojamību kiberincidentu novēršanas institūcijas vērtējumā ir pamatota, kiberincidentu novēršanas institūcija par to nekavējoties informē attiecīgo subjektu.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37.panta ceturto daļu ar papildus teikumu par pienākumu kiberincidentu novēršanas institūcijai informēt Satversmes aizsardzības biroju par ievainojamību kritiskās infrastruktūras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ievainojamības atklāšanas ziņojumā sniegtā informācijā par ievainojamību kiberincidentu novēršanas institūcijas vērtējumā ir pamatota, kiberincidentu novēršanas institūcija par to nekavējoties informē attiecīgo subjektu un Satversmes aizsardzības biroju, ja tas ir attiecināms uz kritisko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pārejas noteikumiem ir uzdots Ministru kabinetam izstrādāt virkni Ministru kabineta noteikumus līdz 2024.gada 1.oktobrim. Lūdzam skaidrot par šāda termiņa izpildes iespējamību un iespējamo rīcību, ja šādi noteikumi netiks izdoti līdz noteiktajam laikam.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29.11.2023.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29.11.2023.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