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3.sadaļas 6.punktā norādīto valsts budžeta ieņēmumu 2023.gadam apmēru  - 19 500 000 euro, vienlaikus izvērtējot norādīt pieejamo finansējumu KEM valsts pamatbudžeta apakšprogrammā 33.02.00 “Emisijas kvotu izsolīšanas instrumenta projekti” saskaņā ar likumprojekta "Par valsts budžetu 2023. gadam un budžeta ietvaru 2023., 2024. un 2025. gadam"  ietvarā plānoto finansējumu un attiecīgi precizēt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vismaz 80 % no gadā saražotās elektroenerģijas, kas saražota ar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iekārtām, tiek izmantota dzīvojamās mājas vai daudzdzīvokļu mājas dzīvojošo iedzīvotāju pašpatēriņa vajadzībām, izņemot gadījumu,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atbilst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un, pēc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uzstādīšanas neizmanto neto uzskaites vai neto norēķinu sistēmu atbilstoši Elektroenerģijas tirgus likumā noteiktajam un par nodoto elektroenerģiju saņem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šo noteikumu "9.4. apakšpunktā veikti precizējumi, ņemot vērā to, ka Ekonomikas ministrija ir veikusi grozījumus “Elektroenerģijas tirgus likumā" (30.</w:t>
            </w:r>
            <w:r w:rsidR="00000000" w:rsidRPr="00000000" w:rsidDel="00000000">
              <w:rPr>
                <w:vertAlign w:val="superscript"/>
                <w:rtl w:val="0"/>
              </w:rPr>
              <w:t xml:space="preserve">5 </w:t>
            </w:r>
            <w:r w:rsidR="00000000" w:rsidRPr="00000000" w:rsidDel="00000000">
              <w:rPr>
                <w:rtl w:val="0"/>
              </w:rPr>
              <w:t xml:space="preserve">pants), kas paredz divu elektroenerģijas norēķinu sistēmu izveidi: “Neto norēķinu sistēma” un “Neto uzskaites sistēma”. Līdz ar to tikai mājsaimniecībai pie neto uzskaites sistēmas vai neto norēķinu sistēmas izmantošanas nosacījums par vismaz 80% no gadā saražotās elektroenerģijas izmantošanu pašpatēriņam, ir izpildīts." Vēršam uzmanību, ka nosacījumu par vismaz 80% no gadā saražotās elektroenerģijas izmantošanu pašpatēriņam, var uzskatīt kā izpildītu tikai, ja mājsaimniecība izmanto neto uzskaites sistēmu, nevis arī neto norēķinu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noteikumu 9.4. punktu, svītrojot vārdus "vai neto norēķinu". Papildus attiecīgi lūdzam precizēt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informāciju anotācijā, jo Elektroenerģijas tirgus likuma 30</w:t>
            </w:r>
            <w:r w:rsidR="00000000" w:rsidRPr="00000000" w:rsidDel="00000000">
              <w:rPr>
                <w:vertAlign w:val="superscript"/>
                <w:rtl w:val="0"/>
              </w:rPr>
              <w:t xml:space="preserve">.5</w:t>
            </w:r>
            <w:r w:rsidR="00000000" w:rsidRPr="00000000" w:rsidDel="00000000">
              <w:rPr>
                <w:rtl w:val="0"/>
              </w:rPr>
              <w:t xml:space="preserve"> pantā ir paredzēti tikai elektroenerģijas neto norēķinu sistēmas nosacījumi, savukārt, elektroenerģijas neto uzskaites sistēmas nosacījumi iekļauti 30.</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vai daudzdzīvokļu mājā, kas tiek izmantots saimnieciskajā darbībā, un ja dzīvojamās mājas vai daudzdzīvokļu mājas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 noteikumu projekta 8.1. apakšpunkta izriet, ka daudzdzīvokļu mājas dzīvokļu īpašnieks var pieteikties uz atbalstu šo noteikumu ietvaros, aicinām 16</w:t>
            </w:r>
            <w:r w:rsidR="00000000" w:rsidRPr="00000000" w:rsidDel="00000000">
              <w:rPr>
                <w:vertAlign w:val="superscript"/>
                <w:rtl w:val="0"/>
              </w:rPr>
              <w:t xml:space="preserve">.2 </w:t>
            </w:r>
            <w:r w:rsidR="00000000" w:rsidRPr="00000000" w:rsidDel="00000000">
              <w:rPr>
                <w:rtl w:val="0"/>
              </w:rPr>
              <w:t xml:space="preserve"> punkta prasības attiecināt arī uz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22-TA-2519</w:t>
    </w:r>
    <w:r>
      <w:br/>
    </w:r>
    <w:r w:rsidR="00000000" w:rsidRPr="00000000" w:rsidDel="00000000">
      <w:rPr>
        <w:rtl w:val="0"/>
      </w:rPr>
      <w:t xml:space="preserve">Izdrukāts 08.03.2023.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22-TA-2519</w:t>
    </w:r>
    <w:r>
      <w:br/>
    </w:r>
    <w:r w:rsidR="00000000" w:rsidRPr="00000000" w:rsidDel="00000000">
      <w:rPr>
        <w:rtl w:val="0"/>
      </w:rPr>
      <w:t xml:space="preserve">Izdrukāts 08.03.2023.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Atzinumi_22-TA-2519.docx</dc:title>
</cp:coreProperties>
</file>

<file path=docProps/custom.xml><?xml version="1.0" encoding="utf-8"?>
<Properties xmlns="http://schemas.openxmlformats.org/officeDocument/2006/custom-properties" xmlns:vt="http://schemas.openxmlformats.org/officeDocument/2006/docPropsVTypes"/>
</file>