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"Pašreizējās situācijas apraksts" aicinām iekļaut atsauci (sasaisti) uz Digitālās transformācijas pamatnostādnēm 2021.- 2027.gadam. rīcības virzienu 4.5. Attīstības joma "IKT inovāciju attīstība un komercializācija, industrija un zinātne". Šo noteikumu projektā iekļautie sasniedzamie rādītāji cieši korelē ar iepriekš minētā rīcības virziena Politikas rezultatīvajiem (PR) rādītājiem PR 4.5.-1: Attīstīta Latvijas inovācijas kapacitāte un PR 4.5.-2: Paaugstināta Latvijas tautsaimniecības inovētspēja IKT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programmas sasniegtie rādītāji un realizētās aktivitātes apliecina programmas pienesumu Digitālās transformācijas pamatnostādnēs 2021.- 2027.gadam ietvertā rīcības virziena 4.5. Attīstības joma "IKT inovāciju attīstība un komercializācija, industrija un zinātne" noteikta mērķa: "Digitālo inovāciju pārnese tautsaimniecības nozarēs, īpaši prioritāri definētajās (RIS3) jomās", kā arī tiek proaktīvi sekmēta Latvijas IKT industrijas iekļaušanās starptautiskajās piegāžu ķēdēs un NAP 2027 mērķu [40], [123], [129], [189], [226] sasniegšana.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Skraučs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13.12.2023.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13.12.2023.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