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attīstības pamatnostādņu 2021. – 2027. gadam „Nākotnes prasmes nākotnes sabiedrībai” RĪCĪBAS PLĀNS 2024. –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rīcības plāna 2024.-2025.gadam darbības rezultātu 3.3.1.1.b; 3.3.1.2.a; 3.3.1.2.b; 3.3.1.2.c; 3.3.1.3.a; 3.3.2.1.a; 3.3.2.1.b; 3.3.2.3.a un 3.3.2.3.b līdzatbildīgās institūcijas ar LBAS.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rīcības plāna 2024.-2025.gadam darbības rezultāta 2.3.3.2.b līdzatbildīgās institūcijas ar LBAS.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 KOPSAVILKUMS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nodrošinātu īstenojamo izglītības pasākumu pēctecību un vienotu pieeju, aicinām veidot rīcības plānu visam periodam atbilstoši kā tas ir plānots izglītības attīstības pamatnostādnēs 2021.-2027.gadam.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Romele (LBAS)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16.01.2025. 11.07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16.01.2025. 11.07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