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22-TA-2965: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sniegto iebildumu un lūdzam izvērtēt vienkāršoto izmaksu iespējami plašāku piemērošanu arī citām izmaksu pozīcijām. Ja piemērot vienkāršotās izmaksas papildus jau paredzētajam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sniegtā informācija nesniedz priekšstatu par iemesliem, kāpēc atbildīgā iestāde nevarētu izstrādāt vienkāršoto izmaksu risinājumus, kas mazinātu administratīvo slogu gan finansējuma saņēmējam, gan Centrālajai finanšu un līgumu aģentūrai. Papildus vēršam uzmanību, ka izziņā ir sniegta atsauce uz KPMG pētījumu, taču pētījuma nodevums no Vadošās iestādes puses uz doto brīdi nav pieņemts, kā arī pētījumā ir pausts ekspertu redzējums/ viedoklis, kas neliedz atbildīgajai iestādei izstrādāt vienkāršoto izmaksu risinājumus, ja tādus saskata.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tiešās attiecināmās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vadošās iestādes ieskatā nav sniegti pamatoti argumenti vienkāršoto izmaksu nepiemērošanai, atkārtoti izsakām iebildumu projekta vadības un īstenošanas personāla izmaksām piemērot vienkāršoto izmaksu risinājumus, t.sk. ietverot  MK noteikumu projekta 18.8. apakšpunktā minētās veselības apdrošināšanas izmaksas un dzēšot ierobežojumus, kas minēti MK noteikumu projekta 19. un 21.punktā.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ārvalstu komandējumu izmaksas finansējuma saņēmēja projekta vadītājam un īstenošanas personālam un projekta vadības un īstenošanas personāla iekšzemes komandējumu un darba braucienu izmaksas atbilstoši normatīvajiem aktiem par kārtību, kādā atlīdzināmi ar komandējumu saistītie izdevumi, ja tās ir pamatotas un saistītas ar projekta īstenošanu. Iekšzemes komandējumu izmaksas tiek segtas atbilstoši Finanšu ministrijas metodikā "Vienas vienības izmaksu standarta likmes aprēķina un piemērošanas metodika iekšzemes komandējumu izmaksām darbības programmas "Izaugsme un nodarbinātība" īstenošanai"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š.g. 9.decembrī apstiprinātos grozījumus, lūdzam precizēt metodikas nosaukumu uz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pasākuma īstenošanā piemēro vadošās vai atbildīgās iestādes sagatavotās Eiropas Savienības fondu 2021.-2027.gada plānošanas perioda vienkāršoto izmaksu metodikas no to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kurām izmaksu pozīcijām ir paredzēts piemērot vienkāršoto izmaksu metodiku un aprakstīt to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iesniegt precizējumus principa “Nenodarīt būtisku kaitējumu” novērtējumam 5.1.1.specifiskā atbalsta mērķa “Vietējās teritorijas integrētās sociālās, ekonomiskās un vides attīstības un kultūras mantojuma, tūrisma un drošības veicināšana pilsētu funkcionālajās teritorijās” (5.1.1.SAM)  5.1.1.2.pasākumam “Pašvaldību un plānošanas reģionu un kapacitātes uzlabošana” (5.1.1.2.pasākums) atbilstoši sniegtajam skaidrojuma anotācijā, ka 5.1.1.2.pasākumam nav ietekmes uz minēto principu. Vēršam uzmanību, ka šobrīd aktuālājā principa “Nenodarīt būtisku kaitējumu” novērtējumā, kas veikts par vairākiem 5.1.1.SAM pasākumiem, identificēts, ka visiem vides mērķiem attiecībā uz 5.1.1.2.pasākumu nepieciešams padziļināts pasākuma novērtējums no principa “Nenodarīt būtisku kaitējumu”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18.4.6. izdales materiālu nodrošinājuma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izdales materiālu atšifrējumu atbilstoši izziņas 66.punktā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Plānojot šo noteikumu </w:t>
            </w:r>
            <w:r w:rsidR="00000000" w:rsidRPr="00000000" w:rsidDel="00000000">
              <w:rPr>
                <w:rtl w:val="0"/>
              </w:rPr>
              <w:t xml:space="preserve">17.1.</w:t>
            </w:r>
            <w:r w:rsidR="00000000" w:rsidRPr="00000000" w:rsidDel="00000000">
              <w:rPr>
                <w:rtl w:val="0"/>
              </w:rPr>
              <w:t xml:space="preserve"> apakšpunktā minētās izmaksas, kas radušās, pamatojoties uz darba līgumu vai rīkojumu par pretendenta iecelšanu ierēdņa amatā, finansējuma saņēmējs nodrošina, ka projekta vadības un īstenošanas personāls tiek piesaistīts uz normālu darba laiku vai nepilnu darba laiku, vai daļlaiku ne mazāk kā 30 procentu apmērā no normālā darba laika. Ja personāla atlīdzībai piemēro daļlaika attiecināmības principu, finansējuma saņēmējs veic personāla darba laika uzskaiti par nostrādāto laiku un veiktajām funkcijām.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atsauci  no MK noteikumu no 17.1.punkta uz MK noteikumu 18.1.punktu.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šo noteikumu</w:t>
            </w:r>
            <w:r w:rsidR="00000000" w:rsidRPr="00000000" w:rsidDel="00000000">
              <w:rPr>
                <w:u w:val="single"/>
                <w:rtl w:val="0"/>
              </w:rPr>
              <w:t xml:space="preserve"> 18.1.</w:t>
            </w:r>
            <w:r w:rsidR="00000000" w:rsidRPr="00000000" w:rsidDel="00000000">
              <w:rPr>
                <w:rtl w:val="0"/>
              </w:rPr>
              <w:t xml:space="preserve">apakšpunktā minētās izmaksas, kas radušās, pamatojoties uz darba līgumu vai rīkojumu par pretendenta iecelšanu ierēdņa amatā, finansējuma saņēmējs nodrošina, ka projekta vadības un īstenošanas personāls tiek piesaistīts uz normālu darba laiku vai nepilnu darba laiku, vai daļlaiku ne mazāk kā 30 procentu apmērā no normālā darba laika. Ja personāla atlīdzībai piemēro daļlaika attiecināmības principu, finansējuma saņēmējs veic personāla darba laika uzskaiti par nostrādāto laiku un veiktajām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18.1.1.</w:t>
            </w:r>
            <w:r w:rsidR="00000000" w:rsidRPr="00000000" w:rsidDel="00000000">
              <w:rPr>
                <w:rtl w:val="0"/>
              </w:rPr>
              <w:t xml:space="preserve"> apakšpunktā minētās attiecināmās nepārsniedz 34 422</w:t>
            </w:r>
            <w:r w:rsidR="00000000" w:rsidRPr="00000000" w:rsidDel="00000000">
              <w:rPr>
                <w:i w:val="1"/>
                <w:rtl w:val="0"/>
              </w:rPr>
              <w:t xml:space="preserve"> euro</w:t>
            </w:r>
            <w:r w:rsidR="00000000" w:rsidRPr="00000000" w:rsidDel="00000000">
              <w:rPr>
                <w:rtl w:val="0"/>
              </w:rPr>
              <w:t xml:space="preserve"> kalendārajā gadā, pieskaitot 0,64% no šo noteikumu </w:t>
            </w:r>
            <w:r w:rsidR="00000000" w:rsidRPr="00000000" w:rsidDel="00000000">
              <w:rPr>
                <w:rtl w:val="0"/>
              </w:rPr>
              <w:t xml:space="preserve">18.</w:t>
            </w:r>
            <w:r w:rsidR="00000000" w:rsidRPr="00000000" w:rsidDel="00000000">
              <w:rPr>
                <w:rtl w:val="0"/>
              </w:rPr>
              <w:t xml:space="preserve"> punktā minētajām tiešajām attiecināmajām izmaksām (neieskaitot šo noteikumu </w:t>
            </w:r>
            <w:r w:rsidR="00000000" w:rsidRPr="00000000" w:rsidDel="00000000">
              <w:rPr>
                <w:rtl w:val="0"/>
              </w:rPr>
              <w:t xml:space="preserve">18.1.1.</w:t>
            </w:r>
            <w:r w:rsidR="00000000" w:rsidRPr="00000000" w:rsidDel="00000000">
              <w:rPr>
                <w:rtl w:val="0"/>
              </w:rPr>
              <w:t xml:space="preserve"> apakšpunktā minētās tiešās attiecināmās personāla izmaksas) un summu reizinot ar projekta ilgumu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vārda "nepārsniedz" lūdzu iestarpināt vārdu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18.1.1. apakšpunktā minētās attiecināmās </w:t>
            </w:r>
            <w:r w:rsidR="00000000" w:rsidRPr="00000000" w:rsidDel="00000000">
              <w:rPr>
                <w:u w:val="single"/>
                <w:rtl w:val="0"/>
              </w:rPr>
              <w:t xml:space="preserve">izmaksas </w:t>
            </w:r>
            <w:r w:rsidR="00000000" w:rsidRPr="00000000" w:rsidDel="00000000">
              <w:rPr>
                <w:rtl w:val="0"/>
              </w:rPr>
              <w:t xml:space="preserve">nepārsniedz 34 422 euro kalendārajā gadā, pieskaitot 0,64% no šo noteikumu 18. punktā minētajām tiešajām attiecināmajām izmaksām (neieskaitot šo noteikumu 18.1.1. apakšpunktā minētās tiešās attiecināmās personāla izmaksas) un summu reizinot ar projekta ilgumu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8.punkta “Horizontālās ietekmes” 8.1.apakšpunkta “Projekta tiesiskā regulējuma ietekme” 8.1.9.apakšpunktā “uz personu ar invaliditāti vienlīdzīgām iespējām un tiesībām” norādīto informāciju attiecībā uz pandusu iegādi, ņemot vērā, ka atbilstoši veiktajiem precizējumiem MK noteikumu projekta 18.4.7.punktā ir plānota tikai pandusu noma.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īsu pamatojumu, kāpēc 5.1.1.2.pasākumā pandusu noma ir saimnieciski izdevīgāka nekā to iegāde, tādejādi nodrošinot atbilstību Finanšu ministrijas vadlīnijās Nr.2 “Vadlīnijas attiecināmo izmaksu noteikšanai  Eiropas savienības kohēzijas politikas programmas 2021.-2027.gada plānošanas periodā” noteiktajam – proti, ir izvērtēts, vai saimnieciski izdevīgāk ir nepieciešamo iekārtu iegādāties vai nomāt.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22-TA-2965</w:t>
    </w:r>
    <w:r>
      <w:br/>
    </w:r>
    <w:r w:rsidR="00000000" w:rsidRPr="00000000" w:rsidDel="00000000">
      <w:rPr>
        <w:rtl w:val="0"/>
      </w:rPr>
      <w:t xml:space="preserve">Izdrukāts 15.12.2022. 12.08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22-TA-2965</w:t>
    </w:r>
    <w:r>
      <w:br/>
    </w:r>
    <w:r w:rsidR="00000000" w:rsidRPr="00000000" w:rsidDel="00000000">
      <w:rPr>
        <w:rtl w:val="0"/>
      </w:rPr>
      <w:t xml:space="preserve">Izdrukāts 15.12.2022. 12.08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Atzinumi_22-TA-2965.docx</dc:title>
</cp:coreProperties>
</file>

<file path=docProps/custom.xml><?xml version="1.0" encoding="utf-8"?>
<Properties xmlns="http://schemas.openxmlformats.org/officeDocument/2006/custom-properties" xmlns:vt="http://schemas.openxmlformats.org/officeDocument/2006/docPropsVTypes"/>
</file>