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norādīto: </w:t>
            </w:r>
            <w:r w:rsidR="00000000" w:rsidRPr="00000000" w:rsidDel="00000000">
              <w:rPr>
                <w:i w:val="1"/>
                <w:rtl w:val="0"/>
              </w:rPr>
              <w:t xml:space="preserve">"Pēc noteikumu projekta apstiprināšanas, ja finanšu saņēmējs iesniedz līguma grozījumus, CFLA var samazināt līgumos iekļautos rādītājus, kas jāsasniedz līdz 2023. gada 31. decembrim, nepārsniedzot MK rīkojumā Nr. 259 iekļautos REACT-EU rādītājus - Personu skaits, kuras saņem nefinansiālu atbalstu (1008), Atbalstīto komersantu skaits (170), Atbalstīto komersantu skaits, kas saņem grantus (170). CFLA iespējams arī samazināt ERAF rādītājus, nepārsniedzot  MK rīkojumā Nr. 259 noteiktos ERAF rādītājus par personu skaitu, kuras saņem nefinansiālu atbalstu (34 320.00, 1.2.2.1. pasākumam 13 240), Atbalstīto komersantu skaitu (1300), Atbalstīto komersantu skaits, kas saņem grantus (1300) , lai būtu nodrošināma 65% sasniegto rādītāju izpilde attiecībā pret plānotajiem sākuma rādītājiem.", </w:t>
            </w:r>
            <w:r w:rsidR="00000000" w:rsidRPr="00000000" w:rsidDel="00000000">
              <w:rPr>
                <w:rtl w:val="0"/>
              </w:rPr>
              <w:t xml:space="preserve">saprotam, ka šīs rindkopas mērķis ir atļaut Finansējuma saņēmējiem, kuriem tas ir aktuāli, samazināt projektos plānotos rādītājus. Lūdzam anotācijā norādīt arī pamatojumu ERAF rādītāju samazināšanai (atbilstoši MK rīkojumam Nr. 259, Darbības programmā tiek samazināti tikai 13.1.6. SAM rādītāji) un skaidrus kritērijus, pēc kuriem CFLA var apstiprināt Finansējuma saņēmēja iesniegtos līguma grozījumus par rādītāju samazināšanu, lai tie nodrošinātu vienlīdzīgu attieksmi pret visiem Finansējuma saņēmējiem. Lūdzam arī anotācijā paredzēt, ka visus Finansējuma saņēmēju iesniegtos līguma grozījumus par rādītāju samazināšanu CFLA saskaņo ar Atbildīgo iestādi. Vienlaikus lūdzam skatīt CFLA iebildumu pie MK noteikumu 49.punkta.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projekta faktiski apgūtais finansējuma apjoms pēc noslēguma pārskata apstiprināšanas ir mazāks nekā sākotnēji paredzētais, nodrošina, lai faktiski sasniegtie rādītāji (komersantu skaits un apmācīto darbinieku skaits) nebūtu mazāki par projekta iesniegumā plānotajiem rādītājiem, kas koriģēti atbilstoši faktiskajai apguvei. Šajā gadījumā projektam apstiprināto intensitāti un finansējuma apjomu samazina, pieprasot starpposma vai noslēguma maksājumu atbilstoši faktiskajam apmācīto darbinieku skaitam no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1.2.2.1. pasākumā gan pirmās, gan otrās projektu iesniegumu atlases kārtas ietvaros projektu iesniedzējiem tika izvirzīta prasība nodrošināt minimālās rādītāju vērtības,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projektu iesniegumu atlases kārtā atbalstīto komersantu, kuru darbinieki tiks apmācīti projekta īstenošanas laikā, skaits – vismaz 32 un personu skaits, kuras saņem nefinansiālu atbalstu (apmācīto darbinieku) skaits – vismaz 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projektu iesniegumu atlases kārtā atbalstīto komersantu, kuru darbinieki tiks apmācīti projekta īstenošanas laikā, skaits – vismaz 25 un personu skaits, kuras saņem nefinansiālu atbalstu (apmācīto darbinieku) skaits – vismaz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prasības bija iekļautas izslēdzošos kvalitātes kritērijos – gadījumā, ja projekta iesniegumā plānotā vērtība ir mazāka par iepriekšminētajām, projekta iesniegums bija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kā arī šo kritēriju faktiskās sekas, 49. punkta dzēšana nav atbalstāma – tā vietā lūdzam noteikumos noteikt minimālās sasniedzamās vērtības, tādējādi leģitimizējot projektā paredzēto rādītāju samazināšanu, tomēr vienlaikus nodrošinot vienlīdzīgu pieeju un saglabājot finansējuma saņēmēja pienākumu nodrošināt minimālo atlases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precizējumus lūdzam veikt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projekta faktiski apgūtais finansējuma apjoms pēc noslēguma pārskata apstiprināšanas ir mazāks nekā sākotnēji paredzētais, nodrošina, lai faktiski sasniegtie rādītāji (komersantu skaits un apmācīto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pirmajā projektu iesniegumu atlases kārtā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atbalstīto komersantu skaits – vismaz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49.1.2. personu, kuras saņem nefinansiālu atbalstu skaits – vismaz 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otrajā projektu iesniegumu atlases kārtā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atbalstīto komersantu skaits – vismaz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49.1.2. personu, kuras saņem nefinansiālu atbalstu skaits – vismaz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anotācijā norādīto: </w:t>
            </w:r>
            <w:r w:rsidR="00000000" w:rsidRPr="00000000" w:rsidDel="00000000">
              <w:rPr>
                <w:i w:val="1"/>
                <w:rtl w:val="0"/>
              </w:rPr>
              <w:t xml:space="preserve">"[..] nepārsniedzot MK rīkojumā Nr. 259 iekļautos REACT-EU rādītājus - Personu skaits, kuras saņem nefinansiālu atbalstu (1008), Atbalstīto komersantu skaits (170), Atbalstīto komersantu skaits, kas saņem grantus (170). CFLA iespējams arī samazināt ERAF rādītājus, nepārsniedzot  MK rīkojumā Nr. 259 noteiktos ERAF rādītājus par personu skaitu, kuras saņem nefinansiālu atbalstu (34 320.00, 1.2.2.1. pasākumam 13 240), Atbalstīto komersantu skaitu (1300), Atbalstīto komersantu skaits, kas saņem grantus (1300) [..]"</w:t>
            </w:r>
            <w:r w:rsidR="00000000" w:rsidRPr="00000000" w:rsidDel="00000000">
              <w:rPr>
                <w:rtl w:val="0"/>
              </w:rPr>
              <w:t xml:space="preserve">, lūdzam redakcionāli precizēt, jo pasākuma ietvaros ir jānodrošina, lai visi projekti kopā sasniegtu MK noteikumos par pasākuma īstenošanu noteiktos rādītājus, kas savukārt veicinātu Darbības programmā paredzēto 1.2.2. SAM un 13.1.6. SAM rādītāju sasniegšanu. Papildus norādām, ka attiecībā uz rādītāju "Atbalstīto komersanu skaits" un "Atbalstīto komersantu skaits, kas saņem grantus" pasākuma ietvaros atbalstītais komersants tiek uzskaitīts SAM līmenī tikai vienu reizi, taču viens un tas pats komersants var tikt atbalstīts vairākos projektos un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"Noteikumu projektā paredzēts veikt tehniskus precizējumus, precizējot esošos MK noteikumos Nr.617 noteiktos rādītājus atbilstoši MK rīkojuma Nr. 259 noteiktajiem REACT-EU samazinātajiem specifiskajiem atbalsta rādītājiem, kas jāsasniedz līdz 2023. gada 31. decembrim:- Atbalstīto komersantu skaits : 170;- Atbalstīto komersantu skaits, kas saņem grantus: 170;- Personu skaits, kuras saņem nefinansiālu atbalstu: 1008."</w:t>
            </w:r>
            <w:r w:rsidR="00000000" w:rsidRPr="00000000" w:rsidDel="00000000">
              <w:rPr>
                <w:rtl w:val="0"/>
              </w:rPr>
              <w:t xml:space="preserve">, skaidri norādot, ka minētās vērtības ir 13.1.6.SAM kopējās plānotās vērtības atbilstoši Darbības programmas grozījumiem un cik no tām ir paredzēts sasniegt 1.2.2.1.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anotācijas teikumu: </w:t>
            </w:r>
            <w:r w:rsidR="00000000" w:rsidRPr="00000000" w:rsidDel="00000000">
              <w:rPr>
                <w:i w:val="1"/>
                <w:rtl w:val="0"/>
              </w:rPr>
              <w:t xml:space="preserve">"Kopš MK noteikumos Nr. 617 ieviešanas brīža līdz 2023.gada 20.februārim REACT- EU ietvaros ir atbalstīts 201 komersants, kas saņem grantus, un 3820 personas, kuras saņem nefinansiālu atbalstu. Savukārt līdz 2023.gada 20.februārim ERAF ietvaros ir atbalstīti 682 komersanti, un 12585 personas, kuras saņem nefinansiālu atbalstu.".</w:t>
            </w:r>
            <w:r w:rsidR="00000000" w:rsidRPr="00000000" w:rsidDel="00000000">
              <w:rPr>
                <w:rtl w:val="0"/>
              </w:rPr>
              <w:t xml:space="preserve"> Pēc KPVIS datiem 1.2.2.1. pasākumā no REACT-EU finansējuma uz 12.06.2023. ir atbalstīti 138 komersanti. Lūdzam papildināt anotāciju ar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grozījumi tiek veikti ar mērķi novērst rādītāju nesasniegšanu, lūdzam pārbaudīt un veikt nepieciešamās korekcijas anotācijas 1.3. sadaļas "Pašreizējā situācija, problēmas un risinājumi" "Problēmas un risinājumi" "Problēmas apraksts" otrajā rindkopā, tādējādi nepārprotami norādot, ka grozījumi ir nepieciešami, ka pastāv risks nevis sasniegt, bet nesasniegt šobrīd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var pieņemt līdz Komisijas regulas Nr. 1407/2013 7. panta 4. punktā un Komisijas regulas Nr. 651/2014 58. panta 4. punktā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nav plānots veikt grozījumus komercdarbības atbalsta piešķiršanas nosacījumos, nodrošinot komercdarbības atbalsta sniegšanu saskaņā ar Komisijas regulu Nr. 651/2014 arī pēc Eiropas Komisijai iesniegtajā kopsavilkuma informācijā (SA.64381) norādītajam termiņa (2023. gada 31. decembris), aicinām skaidrības nolūkos precizēt šo noteikumu projekta punktu, nosakot, ka lēmumu par komercdarbības atbalsta piešķiršanu saskaņā ar Komisijas regulas Nr. 651/2014 var pieņemt līdz 2023. gada 31. decembrim. Informējam, ka Eiropas Komisija 2023.gada 9.martā ir apstiprinājusi regulas tekstu angļu valodā, un tuvākajās nedēļās pēc tam, kad teksts tiks iztulkots visās oficiālajās ES valodās, akts tiks oficiāli pieņemts. Regulas grozījumi paredz grozījumus, tai skaitā, 59. pantā, kas nosaka, ka regulas darbības termiņš būs līdz 2026. gada 31. decembrim. Tas stāsies spēkā nākamajā dienā pēc publicēšanas Eiropas Savienības Oficiālajā Vēstnesī. Komisijas regulas grozījumu teksts ir pieejams šeit: https://competition-policy.ec.europa.eu/document/9a1802e1-cedc-4f87-a1f6-d6759e4d4660_en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21.06.2023.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21.06.2023.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Atzinumi_23-TA-1196.docx</dc:title>
</cp:coreProperties>
</file>

<file path=docProps/custom.xml><?xml version="1.0" encoding="utf-8"?>
<Properties xmlns="http://schemas.openxmlformats.org/officeDocument/2006/custom-properties" xmlns:vt="http://schemas.openxmlformats.org/officeDocument/2006/docPropsVTypes"/>
</file>