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iepazīstoties ar likumprojektu “Grozījumi Ārstniecības likumā” (25-TA-453), sniedz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pret likumprojektā 3. pantā paredzētajām Nacionālā veselības dienesta (turpmāk – NVD) tiesībām noteikt gadījumus, kādos maksājams līgumsods un līgumsoda apmērs, kā arī samaksas un ieturēšanas kārtība. Uzskatām, ka minētie jautājumi būtu regulējami normatīvā aktā – Ministru kabineta noteikumos, likumā paredzot attiecīgu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NVD deleģētās tiesības ir pārlieku plašas un nepietiekami konkrēti formulētas, turklāt tās būtiski ietekmē lielu skaitu pakalpojumu sniedzēju. Tas rada risku, ka, bez skaidra ārējā tiesiskā regulējuma, vienpersoniski varētu tikt noteikti līgumsodu piemērošanas gadījumi, to apmērs un ieturējumu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pantā iekļautā likuma 10.3. panta redakciju izteikt nosakot, ka “Ministru kabinets izdod noteikumus, kuros nosaka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