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1.3. ir minēts,ka  likumprojekts paredz papildināt Sodu reģistra likumu ar jaunu pantu, nosakot, ka tiesības pieprasīt un saņemt ziņas par personu, pret kuru uzsākts kriminālprocess, aizturēto personu, aizdomās turēto, apsūdzēto personu, pret kurām kriminālprocess ir izbeigts uz reabilitējoša pamata, un attaisnoto personu, par kuru ir stājies spēkā attaisnojošs spriedums, no Sodu reģistra arhīva datubāzes ir tikai privātpersonai un operatīvās darbības subjektam, iestādei vai personai, kura pilnvarota veikt izmeklēšanu, prokuratūras struktūrvienībai un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formulējums  ''privātpersona'' attiecas arī uz anotācijā norādīto glabāšanas termiņu  ''gadu pēc tam, kad no Fizisko personu reģistra ir saņemtas ziņas par personas nāvi'' ir noteikts saistībā ar personas tiesībām, kura iestājas par mirušas personas reabilitāciju, pieņemot , ka viens gads ir pietiekami ilgs laika posms, lai minētās tiesības tiktu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''privātpersona'' attiecas uz iepriekšnorādīto, tad vajadzētu precizēt norādot konkrētus ārējos normatīvos aktus un pantus, kuros uzskaitītas personas, vai arī plaši personas aprakstīt.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Burve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24.05.2023.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24.05.2023.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