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19. decembra noteikumos Nr. 1037 "Bāriņtiesas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r w:rsidR="00000000" w:rsidRPr="00000000" w:rsidDel="00000000">
              <w:rPr>
                <w:vertAlign w:val="superscript"/>
                <w:rtl w:val="0"/>
              </w:rPr>
              <w:t xml:space="preserve">5</w:t>
            </w:r>
            <w:r w:rsidR="00000000" w:rsidRPr="00000000" w:rsidDel="00000000">
              <w:rPr>
                <w:rtl w:val="0"/>
              </w:rPr>
              <w:t xml:space="preserve"> Par bērnu, kuram nodrošina ārpusģimenes aprūpi audžuģimenē, bāriņtiesa aktualizē pārskatā norādīto informāciju ne retāk kā reizi 12 mēnešos, iekļaujot informāciju par iespējām bērnam nodrošināt ārpusģimenes aprūpi pie aizbildņa. Bāriņtiesa atkārtoti aktualizē pārskatā norādīto informāciju par bērna radiniekiem un citām bērnam tuvām personām, no kurām nav saņemts atteikums uzņemties aizbildņa pienākumus vai ir mainījušies apstākļi, kas bija par pamatu atteikuma iesniegšanai, un vairs nepastāv objektīvi šķēršļi tām uzņemties un pildīt aizbildņa pienākumus.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uztur iepriekšpausto un vērā neņemto iebildi, jo piedāvātā redakcija šajā punktā nesašaurina un neprecizē to personu loku, par kurām būs jāprasa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iespējams pilnvērtīgi izvērtēt ietekmi uz budžetu, jo  vēl nav metodikas un nav skaidrs, kādas  darbības bāriņtiesām būs jāveic, kuras tieši personas būs jāapzina (radinieki līdz kurai pakāpei un cik tālu sānu līnijā).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LM pamatojums nesatur normas ieguvuma un lietderības izvērtējumu, jo to nevar veikt, kamēr attiecīgās normas saturs nav skaidrs, bet  būs skaidrots  tikai metodikā.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pēc būtības ņemt vērā LPS pausto par šo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20.08.2025. 12.34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20.08.2025. 12.34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Atzinumi_22-TA-2897.docx</dc:title>
</cp:coreProperties>
</file>

<file path=docProps/custom.xml><?xml version="1.0" encoding="utf-8"?>
<Properties xmlns="http://schemas.openxmlformats.org/officeDocument/2006/custom-properties" xmlns:vt="http://schemas.openxmlformats.org/officeDocument/2006/docPropsVTypes"/>
</file>