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programmu ilgtspējīgas pilsētmobilitātes plānošanai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 sadaļā norādīts,ka "IPMP izstrādē svarīgi nodrošināt funkcionālās pilsētas teritorijas attiecīgo dalībnieku, piemēram, iedzīvotāju, pilsoniskās sabiedrības organizāciju pārstāvju un ekonomikas dalībnieku, atbilstošu iesaisti plāna izstrādē un īstenošanā jau no paša sākuma un visa procesa laikā, lai tas tiktu plaši akceptēts un atbalstīts". Iepriekšējā informatīvā ziņojuma versija papildināta ar informāciju, ka minētās darba grupas ietvaros nominētie pārstāvji, saglabājami kā vadības darba grupas līmenis, taču veidojot apakšgrupu plānota plašāka ekspertu līmeņa speciālistu iesaiste. Lūdzam informatīvo ziņojumu papildināt ar norādi, kas apliecina, ka darba grupu darbā tiks iesaistītas arī iedzīvotājus un uzņēmējus pārstāvošas organizācijas, lai nodrošinātu darba grupas darbības sasaisti ar praktisko situāciju.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Vitkaua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25.06.2025.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25.06.2025.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Atzinumi_25-TA-839.docx</dc:title>
</cp:coreProperties>
</file>

<file path=docProps/custom.xml><?xml version="1.0" encoding="utf-8"?>
<Properties xmlns="http://schemas.openxmlformats.org/officeDocument/2006/custom-properties" xmlns:vt="http://schemas.openxmlformats.org/officeDocument/2006/docPropsVTypes"/>
</file>