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augusta noteikumos Nr. 500 "Norvēģijas finanšu instrumenta 2014.–2021. gada perioda programmas "Uzņēmējdarbības attīstība, inovācijas un mazie un vidējie uzņēmumi" divpusējās sadarbības fonda iniciatīvu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atbalsta programmā attiecībā uz de minimis atbalsta piešķiršanu ir iestājies pārrāvums, jo atbalstu ar Komisijas 2013. gada 18. decembra regulu Nr.1407/2013 par Līguma par Eiropas Savienības darbību 107. un 108. panta piemērošanu de minimis atbalstam varēja piešķirt tikai līdz 30.06.2024., aicinām papildināt anotāciju ar informāciju, ka atbalstu saskaņā ar Komisijas 2023. gada 13. decembra regulu Nr. 2023/2831 par Līguma par Eiropas Savienības darbību 107. un 108. panta piemērošanu de minimis atbalstam (turpmāk – Komisijas regula Nr.2023/2831) varēs piešķirt tikai pēc šo noteikumu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plānotais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Viens vienots uzņēmums ir tāds uzņēmums, kas atbilst Komisijas regulas Nr.  2023/2831 2. panta 2.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Nr. 2023/2831 3.panta 2.punktā noteiktajam, atbalsta sniedzējam ir pienākums pārbaudīt piešķirtā, nevis faktiski saņemtā atbalsta apjomu. Lai nodrošinātu atbilstību Komisijas regulas Nr.2023/2831 3.panta 2.punktam, aicinām noteikumu 13.3.punktā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komersants darbojas saimnieciskās darbības nozarēs un veic darbības, kuras nav minētas Komisijas regulas Nr.  2023/2831 1. panta 1. punktā un šo noteikumu 1. pielikumā. Ja komersants vienlaikus darbojas vienā vai vairākās Komisijas regulā Nr.  2023/2831 noteiktajās  darbības jomās,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1.panta 1. un 2.punktam, lūdzam precizēt noteikumu 13.4.apakšpunktu, piemēram, piedāvātajā redakcijā. Savukārt nosacījumu par nozarēm, kurām programmas divpusējās sadarbības fonda ietvaros netiek sniegts atbalsts, izdalīt atsevišķā Ministru kabineta 2020. gada 11. augusta noteikumu Nr. 500 "Norvēģijas finanšu instrumenta 2014.–2021. gada perioda programmas "Uzņēmējdarbības attīstība, inovācijas un mazie un vidējie uzņēmumi" divpusējās sadarbības fonda iniciatīvu īstenošanas noteikumi" (turpmāk – noteikumi) 13.punkta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komersantam de minimis atbalstu, tiek ievēroti Komisijas regulas Nr.2023/2831 1.panta 1.punktā minētie nozaru un darbību ierobežojumi. Ja komersants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piešķirts </w:t>
            </w:r>
            <w:r w:rsidR="00000000" w:rsidRPr="00000000" w:rsidDel="00000000">
              <w:rPr>
                <w:i w:val="1"/>
                <w:rtl w:val="0"/>
              </w:rPr>
              <w:t xml:space="preserve">de minimis </w:t>
            </w:r>
            <w:r w:rsidR="00000000" w:rsidRPr="00000000" w:rsidDel="00000000">
              <w:rPr>
                <w:rtl w:val="0"/>
              </w:rPr>
              <w:t xml:space="preserve">atbalsts, programmas apsaimniekotājs un komersants dokumentus uzglabā atbilstoši Komisijas regulas Nr. 2023/2831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papildināt noteikumu 28.punkta redakciju, norādot sasaisti gan ar Komisijas regulas Nr.2023/2831 6.panta 3.punktu, gan ar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sadaļu 1.3. "Pašreizējā situācija, problēmas un risinājumi" ar informāciju, kāpēc turpmāk divpusējās sadarbības fonda iniciatīvas tiks izsludinātas, un komersants turpmāk varēs pieteikties dalībai divpusējās sadarbības fonda iniciatīvā tīmekļa vietnē www.business.gov.lv, nevis www.liaa.gov.lv.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komersantam dalībai šo noteikumu 8.1. apakšpunktā minētajās aktivitātēs programmas apsaimniekotājs sniedz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01.07.2024. spēkā ir stājušies grozījumi Ministru kabineta 2018.gada 21.novembra noteikumos Nr.715 "Noteikumi par de minimis atbalsta uzskaites un piešķiršanas kārtību un de minimis atbalsta uzskaites veidlapu paraugiem" (turpmāk - MK noteikumi Nr.715), aicinām noteikumu 11.punktā svītrot vārdus “un de minimis atbalsta uzskaites veidlapu paraugiem”. Vienlaikus lūdzam atbilstoši precizēt arī noteikumu 18.2.punkta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24-TA-1379</w:t>
    </w:r>
    <w:r>
      <w:br/>
    </w:r>
    <w:r w:rsidR="00000000" w:rsidRPr="00000000" w:rsidDel="00000000">
      <w:rPr>
        <w:rtl w:val="0"/>
      </w:rPr>
      <w:t xml:space="preserve">Izdrukāts 11.07.2024.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24-TA-1379</w:t>
    </w:r>
    <w:r>
      <w:br/>
    </w:r>
    <w:r w:rsidR="00000000" w:rsidRPr="00000000" w:rsidDel="00000000">
      <w:rPr>
        <w:rtl w:val="0"/>
      </w:rPr>
      <w:t xml:space="preserve">Izdrukāts 11.07.2024.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Atzinumi_24-TA-1379.docx</dc:title>
</cp:coreProperties>
</file>

<file path=docProps/custom.xml><?xml version="1.0" encoding="utf-8"?>
<Properties xmlns="http://schemas.openxmlformats.org/officeDocument/2006/custom-properties" xmlns:vt="http://schemas.openxmlformats.org/officeDocument/2006/docPropsVTypes"/>
</file>