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robežsardzes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šā likuma 5. panta pirmās daļas 1., 2., 3., 4., 5., 6., 7., 9. un 11. punktā, kā arī šā likuma 5. panta otrajā daļā minēto uzdevumu izpildi, nolūkā veikt valsts robežas, valsts robežas joslas, pierobežas joslas un pierobežas režīma kontroli, robežšķērsošanas vietas režīma kontroli, ārzemnieku ieceļošanas, uzturēšanās, izceļošanas, nodarbinātības un tranzīta nosacījumu kontroli, nodrošināt Robežsardzes izmantojamo ēku, telpu, teritoriju un infrastruktūras objektu apsardzi, aizturēto personu uzvedības uzraudzību, kā arī likumpārkāpumu novēršanu, pārtraukšanu un atklāšanu, Robežsardze veic novērošanu, tajā skaitā klātbūtnes pazīmju fiksēšanu ar skaņu vai bez tās, izmantojot tehniskos līdzekļus, un apstrādā novērošanas rezultātā iegūtos datus, tajā skaitā personas datus (attēls, balss, uzvedība). Noteikumus par kārtību, kādā Robežsardze savu uzdevumu izpildei veic novērošanu, izmantojot tehniskos līdzekļus, kā arī šādas novērošanas rezultātā iegūto datu apstrādi,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vairākkārtīgi vērsusi uzmanību uz to, ka </w:t>
            </w:r>
            <w:r w:rsidR="00000000" w:rsidRPr="00000000" w:rsidDel="00000000">
              <w:rPr>
                <w:u w:val="single"/>
                <w:rtl w:val="0"/>
              </w:rPr>
              <w:t xml:space="preserve">Ministru kabinets ārējo normatīvo aktu var izdot tikai tādā gadījumā, ja likumdevējs likumā formulējis pilnvarojumu šāda akta izdošanai un noteicis pilnvarojuma robežas</w:t>
            </w:r>
            <w:r w:rsidR="00000000" w:rsidRPr="00000000" w:rsidDel="00000000">
              <w:rPr>
                <w:rtl w:val="0"/>
              </w:rPr>
              <w:t xml:space="preserve"> </w:t>
            </w:r>
            <w:r w:rsidR="00000000" w:rsidRPr="00000000" w:rsidDel="00000000">
              <w:rPr>
                <w:i w:val="1"/>
                <w:rtl w:val="0"/>
              </w:rPr>
              <w:t xml:space="preserve">(skat. Satversmes tiesas 2017. gada 29. jūnija sprieduma lietā Nr. 2016-23-03 16. punktu)</w:t>
            </w:r>
            <w:r w:rsidR="00000000" w:rsidRPr="00000000" w:rsidDel="00000000">
              <w:rPr>
                <w:rtl w:val="0"/>
              </w:rPr>
              <w:t xml:space="preserve">. Turklāt </w:t>
            </w:r>
            <w:r w:rsidR="00000000" w:rsidRPr="00000000" w:rsidDel="00000000">
              <w:rPr>
                <w:u w:val="single"/>
                <w:rtl w:val="0"/>
              </w:rPr>
              <w:t xml:space="preserve">Ministru kabineta noteikumu saturam jāatbilst likumdevēja noteiktajam pilnvarojumam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w:t>
            </w:r>
            <w:r w:rsidR="00000000" w:rsidRPr="00000000" w:rsidDel="00000000">
              <w:rPr>
                <w:u w:val="single"/>
                <w:rtl w:val="0"/>
              </w:rPr>
              <w:t xml:space="preserve">"kārtība" nozīmē norises īstenošanas veidu vai darbības organizāciju</w:t>
            </w:r>
            <w:r w:rsidR="00000000" w:rsidRPr="00000000" w:rsidDel="00000000">
              <w:rPr>
                <w:rtl w:val="0"/>
              </w:rPr>
              <w:t xml:space="preserve"> (</w:t>
            </w:r>
            <w:r w:rsidR="00000000" w:rsidRPr="00000000" w:rsidDel="00000000">
              <w:rPr>
                <w:i w:val="1"/>
                <w:rtl w:val="0"/>
              </w:rPr>
              <w:t xml:space="preserve">skat., piemēram, Satversmes tiesas 2012. gada 2. maija sprieduma lietā Nr. 2011-17-03 13.3. apakšpunktu)</w:t>
            </w:r>
            <w:r w:rsidR="00000000" w:rsidRPr="00000000" w:rsidDel="00000000">
              <w:rPr>
                <w:rtl w:val="0"/>
              </w:rPr>
              <w:t xml:space="preserve">. </w:t>
            </w:r>
            <w:r w:rsidR="00000000" w:rsidRPr="00000000" w:rsidDel="00000000">
              <w:rPr>
                <w:u w:val="single"/>
                <w:rtl w:val="0"/>
              </w:rPr>
              <w:t xml:space="preserve">Atsevišķos gadījumos Ministru kabineta noteikumu saturu var veidot arī materiālās normas, taču tām jābūt pieņemtām, pamatojoties uz nepārprotamu likumdevēja pilnvarojumu</w:t>
            </w:r>
            <w:r w:rsidR="00000000" w:rsidRPr="00000000" w:rsidDel="00000000">
              <w:rPr>
                <w:rtl w:val="0"/>
              </w:rPr>
              <w:t xml:space="preserve"> </w:t>
            </w:r>
            <w:r w:rsidR="00000000" w:rsidRPr="00000000" w:rsidDel="00000000">
              <w:rPr>
                <w:i w:val="1"/>
                <w:rtl w:val="0"/>
              </w:rPr>
              <w:t xml:space="preserve">(skat., piemēram, Satversmes tiesas 2018. gada 18. oktobra sprieduma lietā Nr. 2017-33-03 14.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Tieslietu ministrija vērsa uzmanību uz to, ka, piemēram, šobrīd spēkā esošo Ministru kabineta 2010. gada 10. augustā noteikumu Nr. 773 "Kārtība, kādā iegūstama, glabājama un izmantojama no Valsts robežsardzes videoinformācijas fiksēšanas iekārtām iegūtā informācija" 6. punktā ir noteikts iegūtās videoinformācijas glabāšanas termiņš, kas ir materiāla tiesību norma, bet Latvijas Republikas valsts robežas likuma 29. panta trešajā daļā nav attiecīga pilnvarojuma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 likumprojekta "Grozījumi Valsts robežsardzes likumā"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4.1.2. apakšsadaļā ietvertās informācijas izriet, ka </w:t>
            </w:r>
            <w:r w:rsidR="00000000" w:rsidRPr="00000000" w:rsidDel="00000000">
              <w:rPr>
                <w:u w:val="single"/>
                <w:rtl w:val="0"/>
              </w:rPr>
              <w:t xml:space="preserve">Ministru kabineta noteikumu projektā "Noteikumi par kārtību, kādā Valsts robežsardze savu uzdevumu izpildei veic novērošanu, izmantojot tehniskos līdzekļus, kā arī šādas novērošanas rezultātā iegūto datu apstrādi" tiks paredzētas ne tikai procesuālās tiesību normas, bet arī materiālās tiesību normas, bet projekta 1. pantā paredzētajā Latvijas robežsardzes likuma 5. panta trešajā daļā nav attiecīga pilnvarojuma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projekta 1. pantā paredzētajā Valsts robežsardzes likuma 5. panta trešajā daļā noteikto pilnvarojumu Ministru kabinetam vai projekta izziņā norādīt, ka Tieslietu ministrijas izteiktais priekšlikums nav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ietverta informācija par projekta 2. pantā paredzēto Valsts robežsardzes likuma pārejas noteikumu 7. un 8. punktu, bet nav atbilstoša skaidrojuma šāda regulējuma nepieciešamībai. Ievērojot minēto, lūdzam papildināt anotācijas 1.3. apakšsadaļu ar atbilstošu skaidrojumu par projekta 2. pantā paredzēto Valsts robežsardzes likuma pārejas noteikumu 7. un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02.02.2023.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02.02.2023.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Atzinumi_22-TA-243.docx</dc:title>
</cp:coreProperties>
</file>

<file path=docProps/custom.xml><?xml version="1.0" encoding="utf-8"?>
<Properties xmlns="http://schemas.openxmlformats.org/officeDocument/2006/custom-properties" xmlns:vt="http://schemas.openxmlformats.org/officeDocument/2006/docPropsVTypes"/>
</file>