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precizēt projekta anotācijā norādīto informāciju, ka "ir nepieciešams veikt attiecīgus grozījumus Ceļu satiksmes likumā, kuros tiktu noteikta atbildība elektroskrejriteņa vadītājam, ja nav veikta tā īpašnieka civiltiesiskās atbildības obligātā apdrošināšana". Šobrīd pieļaujams un faktiski iespējams norādīt tikai to, ka (administratīvās) atbildības nepieciešamība un pieļaujamība ir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varētu paredzēt administratīvo atbildību, vispirms jāizvērtē administratīvās atbildības nepieciešamība un pieļaujamība (t. s. administratīvās atbildības kritēriji). 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 Šā projekta anotācija tas nav darīts un nav arī nepieciešams. Administratīvās atbildības kritēriju vērtējums nepieciešams, ja tiks sagatavoti minētie grozījumi Ceļu satiksmes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sākotnējo ietekmi, vērtē arī projekta ietekmi uz tiesību normu sistēmu (Ministru kabineta 2021. gada 7. septembra noteikumu Nr. 617 "Tiesību akta projekta sākotnējās ietekmes izvērtēšanas kārtība" 9.19. apakšpunkts). Projekta autoram jāidentificē un jāapraksta visi saistītie grozījumi citos normatīvajos aktos. Ir jānošķir būtiskie grozījumi normatīvajos aktos no nebūtiskiem grozījumiem. Būtiski ir tādi saistītie grozījumi, bez kuriem nevar pilnvērtīgi sasniegt plānotā tiesību akta projekta mērķi. Nebūtiskie grozījumi ir tādi, kas precizē un saskaņo plānotos grozījumus ar citiem saistītajiem normatīvajiem aktiem, tomēr tiesību sistēmas korekta funkcionēšana ir iespējama arī bez šādiem grozījumiem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ka likumā visos gadījumos jābūt noteiktām sankcijām par tiesību normu neievērošanu, citādi atbildības mehānisma neesības gadījumā ciestu tiesību sistēmas efektivitāte, vairāk atbilst padomju tiesību izpratnei. Mūsdienu demokrātiskā valstī tiesību efektivitāte nebūtu tieši proporcionāli saistāma ar atbilstošu valsts sankciju un draudu esību. Tā vietā izmantojami līdzekļi, kas attīsta personu tiesisko apziņu un veido pilsonisku sabiedrību (</w:t>
            </w:r>
            <w:r w:rsidR="00000000" w:rsidRPr="00000000" w:rsidDel="00000000">
              <w:rPr>
                <w:i w:val="1"/>
                <w:rtl w:val="0"/>
              </w:rPr>
              <w:t xml:space="preserve">Šulmane D. Tiesību normu efektivitātes problemātika un aktualitāte XX un XXI gadsimta tiesību socioloģijā. Promocijas darbs. Rīga: Latvijas Universitātes Juridiskā fakultāte, 2012, 182.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tas, ka projektā paredz pienākumu apdrošināt elektroskrejriteņus, automātiski nenozīmē, ka par šāda pienākuma neievērošana ir paredzama arī tieši administratīvā atbildība. Tas ir patstāvīgi vērtējams jautājums. Nav izslēgts, ka pienākumu ir iespējams īstenot ar citu ietekmēšanas līdzekļu palīdzību un šobrīd anotācijā minētie grozījumi Ceļu satiksmes likumā nav obligāti. Tādējādi norāde, ka izvērtējama administratīvās atbildības nepieciešama, drīzāk būtu ietverama kā cita informācija (projekta anotācijas 4.2. apakšpunkts). Jebkurā gadījumā šā projekta anotācija esoša norāde, ka ir paredzama atbildība elektroskrejriteņa vadītājam, pati par sevi nebūs pamatojums grozījumiem Ceļu satiksmes likumā saistībā ar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12.04.2024.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12.04.2024.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