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2.1.3. specifiskā atbalsta mērķa “Veicināt pielāgošanos klimata pārmaiņām, risku novēršanu un noturību pret katastrofām” 2.1.3.3. pasākuma “Katastrofu risku mazināšanas pasākumi”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 projekta vadības un īstenošanas personāla atlīdzības izmaksas, kas ietver projekta vadībā un īstenošanā iesaistīto ekspertu atalgojuma izmaksas atbilstoši Valsts un pašvaldību institūciju amatpersonu un darbinieku atlīdzības likuma nosacījumiem un radušās, pamatojoties uz darba līgumu, vienošanos vai rīkojumu.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17.4. apakšpunkta redakciju, ievērojot līdzšinējā komunikācijā panākto vienošanos attiecībā gan uz kopējo pieeju vienotās likmes piemērošanā, gan konkrēto redakciju, tai skaitā, norādot precīzu likmes apmēru projekta vadības un īstenošanas personāla izmaksām. Vienlaikus uzsveram, ka konkrētais projekta vadības un īstenošanas personāla atlīdzības likmes apmērs, t.sk. aprēķini, kas pamato konkrēto likmes apmēru, ir saskaņojami ar vadošo iestādi. Līdz ar to lūdzam ņemt vērā līdzšinējā komunikācijā sniegtās norādes pamatojošo aprēķinu sagatavošanai, kā arī Finanšu ministrijas vadlīnijās Nr.1.1. "Vadlīnijas par vienkāršoto izmaksu izmantošanas iespējām un to piemērošana Eiropas Savienības kohēzijas politikas programmas 2021.–2027.gadam ietvaros”  noteikto un līdz MK noteikumu atkārtotai virzībai ar vadošo iestādi saskaņot likmes apmēru un attiecīgi noteikumu projektā un anotācijā iekļaujamo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Pasākuma pirmās kārtas ietvaros ir atbalstāmas šādas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noteikumos 17.1.apakšpunktā iekļautās attiecināmās projekta vadības un īstenošanas personāla izmaksas, aicinām noteikumu 16.punktā neizkļaut  tādu atbalstāmo darbību kā "projekta vadība un īstenošana".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16.7. publicitātes pasākumi par projektu īstenošanu atbilstoši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47. un 50. pantam un kārtībai, kādā Eiropas Savienības fondu vadībā iesaistītās institūcijas nodrošina šo fondu ieviešanu 2021.–2027.gada plānošanas periodā,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vadošās iestādes 2023. gada 30.maija vadlīniju 1.4. "Vadlīnijas Ministru kabineta noteikumu par specifiskā atbalsta mērķa īstenošanu izstrādei Eiropas Savienības fondu 2021.—2027. gada plānošanas periodā" 31.punktā lietoto jēdzienu "komunikācijas un vizuālās identitātes prasību nodrošināšanas nosacījumi"  aicinām precizēt 16.7.apakšpunktu, kā arī aicinām izvērtēt un nepieciešamību precizēt noteikumu projekta 17.5.apakšpunktu un 23.punktu.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Pasākuma pirmās kārtas tiešās attiecināmās izmaksas ietver: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nedublētu attiecināmo izmaksu nosacījumus, aicinām apvienot MK noteikumu 17.1. un 17.4.apakšpunktu. Vienlaikus aicinām apvienot arī MK noteikumu 17.2.3. un 17.2.4.apakšpunktu.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17.2.1. izvēlētai izstrādes metodei atbilstošas dokumentācijas izstrādes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17.2.1.apakšpunkts nosaka attiecināmās izmaksas "izvēlētai izstrādes metodei atbilstošas dokumentācijas izstrādes izmaksas". Aicinām skaidrot, kādu dokumentāciju plānots izstrādāt projekta īstenošanas laikā, kas tiks attiecināts uz minētā punkta redakciju.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Pasākuma pirmās kārtas īstenošanas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MK noteikumus, norādot izmaksu attiecināmības periodu.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Informācijas sistēmas izstrādātājs saņem no finansējuma saņēmēja gala maksājumu, kas nevar būt mazāks par 20 procentiem no informācijas sistēmas izstrādes līgumcenas, tikai pēc tam, kad ir parakstīts nodošanas un pieņemšanas akts par informācijas sistēmu izstrādi un ieviešanu un finansējuma saņēmējs ir pārliecinājies, ka izstrādātās informācijas sistēmas vai elektroniskais pakalpojums atbilst iepirkuma līgumā ietvertajiem uzdevumiem.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skaidru regulējumu nosacījumiem par maksāšanas kārtību, aicinām papildināt MK noteikumu 26.punkta redakciju, norādot "ieviešanu </w:t>
            </w:r>
            <w:r w:rsidR="00000000" w:rsidRPr="00000000" w:rsidDel="00000000">
              <w:rPr>
                <w:u w:val="single"/>
                <w:rtl w:val="0"/>
              </w:rPr>
              <w:t xml:space="preserve">produktīvā darbībā</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Informācijas sistēmas izstrādātājs saņem no finansējuma saņēmēja gala maksājumu, kas nevar būt mazāks par 20 procentiem no informācijas sistēmas izstrādes līgumcenas, tikai pēc tam, kad ir parakstīts nodošanas un pieņemšanas akts par informācijas sistēmu izstrādi un ieviešanu produktīvā darbībā un finansējuma saņēmējs ir pārliecinājies, ka izstrādātās informācijas sistēmas vai elektroniskais pakalpojums atbilst iepirkuma līgumā ietvertajiem uzdevumiem.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Finansējuma saņēmējam ir pienākums pirms pasākuma pirmās projektu iesniegumu atlases kārtas izsludināšanas izstrādāt nosacījumus, kas paredz kārtību, kādā tiks nodrošināta interešu konflikta neesamība, identificēti apstākļi, kuri izraisa vai var izraisīt interešu konfliktu, kas rada apdraudējumu vai kaitējumu projekta īstenošanai, noteikti veicamie pasākumi un izstrādāti darbības plāni interešu konflikta preventīvai novēršanai un gadījumiem, kad interešu konflikts ir atklāts.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paredzēt, ka 29.punktā minētās tiesību normas attiecas arī uz sadarbības partneri.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3.sadaļas 6.punktā ir norādīts, ka pēc projekta ietvaros Agrīnās brīdināšanas sistēmas izveides un ieviešanas un kvalitātes kontroles pabeigšanas no 2025. gada 1. janvāra ik gadu būs nepieciešams finansējums uzturēšanas izdevumiem līdz 361 200 </w:t>
            </w:r>
            <w:r w:rsidR="00000000" w:rsidRPr="00000000" w:rsidDel="00000000">
              <w:rPr>
                <w:i w:val="1"/>
                <w:rtl w:val="0"/>
              </w:rPr>
              <w:t xml:space="preserve">euro </w:t>
            </w:r>
            <w:r w:rsidR="00000000" w:rsidRPr="00000000" w:rsidDel="00000000">
              <w:rPr>
                <w:rtl w:val="0"/>
              </w:rPr>
              <w:t xml:space="preserve">apmērā, lūdzam papildināt anotāciju ar informāciju, ka uzturēšanas izdevumiem nepieciešamais finansējums tiks pieprasīts normatīvajos aktos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23-TA-263</w:t>
    </w:r>
    <w:r>
      <w:br/>
    </w:r>
    <w:r w:rsidR="00000000" w:rsidRPr="00000000" w:rsidDel="00000000">
      <w:rPr>
        <w:rtl w:val="0"/>
      </w:rPr>
      <w:t xml:space="preserve">Izdrukāts 12.07.2023. 09.50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23-TA-263</w:t>
    </w:r>
    <w:r>
      <w:br/>
    </w:r>
    <w:r w:rsidR="00000000" w:rsidRPr="00000000" w:rsidDel="00000000">
      <w:rPr>
        <w:rtl w:val="0"/>
      </w:rPr>
      <w:t xml:space="preserve">Izdrukāts 12.07.2023. 09.50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Atzinumi_23-TA-263.docx</dc:title>
</cp:coreProperties>
</file>

<file path=docProps/custom.xml><?xml version="1.0" encoding="utf-8"?>
<Properties xmlns="http://schemas.openxmlformats.org/officeDocument/2006/custom-properties" xmlns:vt="http://schemas.openxmlformats.org/officeDocument/2006/docPropsVTypes"/>
</file>