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23-TA-1396: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1.1.1. specifiskā atbalsta mērķa "Pētniecības un inovāciju kapacitātes stiprināšana un progresīvu tehnoloģiju ieviešana kopējā P&amp;A sistēmā" 1.1.1.8. pasākuma "Doktorantūras granti"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(Anotācijas pielikums Finansējuma un rādītāju aprēķini precizēti)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finansējuma saņēmējs uzkrāj šādus RIS3 rādītājus katrā no RIS3 jomām: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7.punktu ar diviem apakšpunktiem, nosakot finansējuma saņēmējam pienākumu uzkrāt datus par šādiem RIS3 rādītājiem, kas nodrošina kopējo P&amp;A izdevumu apjoma apkopošanu publiskā un privātā finansējuma griezumā, katrā no RIS3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P&amp;A izdevumu apjoms - publiskais finansējums,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P&amp;A izdevumu apjoms - privātās investīcijas,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 (Sanda Blumberga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31.1.1. projekta vadības personāla atlīdzības izmaksas (izņemot virsstundas) šo noteikumu </w:t>
            </w:r>
            <w:r w:rsidR="00000000" w:rsidRPr="00000000" w:rsidDel="00000000">
              <w:rPr>
                <w:rtl w:val="0"/>
              </w:rPr>
              <w:t xml:space="preserve">30.2.</w:t>
            </w:r>
            <w:r w:rsidR="00000000" w:rsidRPr="00000000" w:rsidDel="00000000">
              <w:rPr>
                <w:rtl w:val="0"/>
              </w:rPr>
              <w:t xml:space="preserve"> un </w:t>
            </w:r>
            <w:r w:rsidR="00000000" w:rsidRPr="00000000" w:rsidDel="00000000">
              <w:rPr>
                <w:rtl w:val="0"/>
              </w:rPr>
              <w:t xml:space="preserve">30.3. </w:t>
            </w:r>
            <w:r w:rsidR="00000000" w:rsidRPr="00000000" w:rsidDel="00000000">
              <w:rPr>
                <w:rtl w:val="0"/>
              </w:rPr>
              <w:t xml:space="preserve">apakšpunktā</w:t>
            </w:r>
            <w:r w:rsidR="00000000" w:rsidRPr="00000000" w:rsidDel="00000000">
              <w:rPr>
                <w:rtl w:val="0"/>
              </w:rPr>
              <w:t xml:space="preserve"> minēto darbību īstenošanai, ņemot vērā, 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ar jaunu apakšpunktu: Ja projekts ilgst mazāk par gadu vai nepilnos kalendārajos gados, tad ierobežojumu aprēķina proporcionāli projekta darbību īstenošanas pilnu mēnešu skaitam.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31.1.1.3. ja projekts ilgst mazāk par gadu vai nepilnos kalendārajos gados, tad ierobežojumu aprēķina proporcionāli projekta darbību īstenošanas pilnu mēnešu skaitam.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Ķepīte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31.1.1.2. tās nepārsniedz 34 422 </w:t>
            </w:r>
            <w:r w:rsidR="00000000" w:rsidRPr="00000000" w:rsidDel="00000000">
              <w:rPr>
                <w:i w:val="1"/>
                <w:rtl w:val="0"/>
              </w:rPr>
              <w:t xml:space="preserve">euro</w:t>
            </w:r>
            <w:r w:rsidR="00000000" w:rsidRPr="00000000" w:rsidDel="00000000">
              <w:rPr>
                <w:rtl w:val="0"/>
              </w:rPr>
              <w:t xml:space="preserve"> gadā, ja projekta tiešās attiecināmās izmaksas ir līdz 5 000 000 </w:t>
            </w:r>
            <w:r w:rsidR="00000000" w:rsidRPr="00000000" w:rsidDel="00000000">
              <w:rPr>
                <w:i w:val="1"/>
                <w:rtl w:val="0"/>
              </w:rPr>
              <w:t xml:space="preserve">euro</w:t>
            </w:r>
            <w:r w:rsidR="00000000" w:rsidRPr="00000000" w:rsidDel="00000000">
              <w:rPr>
                <w:rtl w:val="0"/>
              </w:rPr>
              <w:t xml:space="preserve"> (ieskaitot).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apakšpunktu, nodrošinot atbilstību Vadošās iestādes vadlīniju Nr.1.2. "Vadlīnijas attiecināmo izmaksu noteikšanai Eiropas Savienības kohēzijas politikas programmas 2021.-2027.gada plānošanas periodā" 7.29.apakšpunkta 25.atsaucē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tās nepārsniedz 34 422 euro gadā, pieskaitot 0,64% no projekta tiešajām attiecināmajām izmaksām, neieskaitot tiešās projekta vadības personāla izmaksas, ja projekta tiešās attiecināmās izmaksas ir līdz 5 000 000 euro (ieskaitot).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Ķepīte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Komisijas paziņojuma "</w:t>
            </w:r>
            <w:r w:rsidR="00000000" w:rsidRPr="00000000" w:rsidDel="00000000">
              <w:rPr>
                <w:i w:val="1"/>
                <w:rtl w:val="0"/>
              </w:rPr>
              <w:t xml:space="preserve">Pētniecībai, izstrādei un inovācijai piešķiramā valsts atbalsta nostādnes"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(2022/C 414/01) 20.punktā norādītajam, par darbību bez saimnieciska rakstura tiek uzskatīta publiskā izglītība, kas tiek nodrošināta valsts izglītības sistēmas ietvaros un kas galvenokārt vai pilnībā ir valsts finansēta un uzraudzīta (šis nosacījums ir ietverts arī MK noteikumu projekta 2.2.apakšpunktā), attiecīgi anotācijā ietvertais paskaidrojums, ka: "</w:t>
            </w:r>
            <w:r w:rsidR="00000000" w:rsidRPr="00000000" w:rsidDel="00000000">
              <w:rPr>
                <w:i w:val="1"/>
                <w:rtl w:val="0"/>
              </w:rPr>
              <w:t xml:space="preserve">privātā augstskola, piedāvājot studēt doktorantūrā, saņem naudu no studējošā, kas ir saimnieciska darbība un ir pretrunā ar Regulā Nr.651/2014 iekļauto pētniecības un zināšanu izplatīšanas organizācijas definīciju"</w:t>
            </w:r>
            <w:r w:rsidR="00000000" w:rsidRPr="00000000" w:rsidDel="00000000">
              <w:rPr>
                <w:rtl w:val="0"/>
              </w:rPr>
              <w:t xml:space="preserve">, ir nekorekts, jo Regulas Nr.651/2014 2. panta 83.punktā ietvertā pētniecības un zināšanu izplatīšanas organizācijas definīcija neaizliedz šīm organizācijām nodarboties ar saimnieciskām aktivitātēm. Attiecīgi lūdzam precizēt anotācijā ietverto skaidrojumu par privāto augstskolu iesaisti pasākumā, norādot, ka pasākuma ietvaros nav paredzēts atbalstīt projektus, kas neatbilst noteikumu projekta 2.2.apakšpunktā noteiktajiem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23.punktā minēto nosacījumu par to, ka vismaz 25 procenti no doktorantūras granta saņēmējiem ir ieguvuši zinātnes doktora grādu un anotācijā norādīto, ka Finansējuma saņēmējs ievada Kohēzijas politikas fondu vadības informācijas sistēmā (turpmāk- KPVIS) doktora grādu ieguvēju skaitu, ierosinām izvērtēt, vai noteikumu projekts nebūtu jāpapildina ar jaunu nacionālo rādītāju (piemēram redakcijā "doktorantūras granta saņēmēju, kas ir ieguvuši zinātnes doktora grādu, skaits"), lai būtu skaidrība, kur finansējuma saņēmējs ievada šo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Teivāne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iepriekšējās MK noteikumu redakcijas 25.punkts aizstāts ar citu redakciju un papildināts ar 26.punktu par partneru iesaistes nosacījumiem, lūdzam saskaņot anotācijas </w:t>
            </w:r>
            <w:r w:rsidR="00000000" w:rsidRPr="00000000" w:rsidDel="00000000">
              <w:rPr>
                <w:i w:val="1"/>
                <w:rtl w:val="0"/>
              </w:rPr>
              <w:t xml:space="preserve">1.3.Pašreizējā situācija, problēmas un risinājumi</w:t>
            </w:r>
            <w:r w:rsidR="00000000" w:rsidRPr="00000000" w:rsidDel="00000000">
              <w:rPr>
                <w:rtl w:val="0"/>
              </w:rPr>
              <w:t xml:space="preserve"> skaidrojumus par papildus partneru piesaisti "</w:t>
            </w:r>
            <w:r w:rsidR="00000000" w:rsidRPr="00000000" w:rsidDel="00000000">
              <w:rPr>
                <w:i w:val="1"/>
                <w:rtl w:val="0"/>
              </w:rPr>
              <w:t xml:space="preserve">Lai nodrošinātu konceptuālajā ziņojumā noteikto prasību kvalitatīvām doktorantūras studijām, kas balstās uz plašu partnerību ar zinātniskajām institūcijām, noteikumu projekts paredz, ka projekta iesniedzējiem ir jāpiesaista vismaz viens sadarbības partneris (neskaitot noteikumu projektā definētos partnerus), kas nodrošina doktoranta iesaisti studiju vai zinātniski pētnieciskajā darbā. Ja projekta iesniedzējam plānotais kopējais attiecināmais finansējums pārsniedz 2 000 000 euro, tad par katriem 2 000 000 euro projekta iesniedzējs paredz iesaistīt ne mazāk kā vienu projekta sadarbības partneri, neskaitot noteikumu projektā definētos sadarbības partnerus. Līdz ar to noteikumu projekts paredz, ka Latvijas Universitātei un Rīgas Tehniskajai universitātei kā projektu iesniedzējiem projekta īstenošanai ir jāpiesaista vismaz trīs papildu sadarbības partneri, bet pārējiem projektu iesniedzējiem vismaz viens papildu sadarbības partneris." </w:t>
            </w:r>
            <w:r w:rsidR="00000000" w:rsidRPr="00000000" w:rsidDel="00000000">
              <w:rPr>
                <w:rtl w:val="0"/>
              </w:rPr>
              <w:t xml:space="preserve"> Gadījumā, ja atbildīgās iestādes ieskatā anotācijā saglabājama esošā redakcija, aicinām visā MK noteikumu projektā un anotācijā izmantot vienoto pieeju, proti, pamatojot papildu piesaistāmo partneru skaitu un nosakot projektu vadības personāla atlīdzības summu ierobežojumus, izmantot vai nu plānotā kopējā attiecināmā finansējuma ierobežojumus vai pieejamā kopējā attiecināmā finansējuma  ierobežojumu.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Rasa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23-TA-1396</w:t>
    </w:r>
    <w:r>
      <w:br/>
    </w:r>
    <w:r w:rsidR="00000000" w:rsidRPr="00000000" w:rsidDel="00000000">
      <w:rPr>
        <w:rtl w:val="0"/>
      </w:rPr>
      <w:t xml:space="preserve">Izdrukāts 08.12.2023. 15.33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23-TA-1396</w:t>
    </w:r>
    <w:r>
      <w:br/>
    </w:r>
    <w:r w:rsidR="00000000" w:rsidRPr="00000000" w:rsidDel="00000000">
      <w:rPr>
        <w:rtl w:val="0"/>
      </w:rPr>
      <w:t xml:space="preserve">Izdrukāts 08.12.2023. 15.33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Atzinumi_23-TA-1396.docx</dc:title>
</cp:coreProperties>
</file>

<file path=docProps/custom.xml><?xml version="1.0" encoding="utf-8"?>
<Properties xmlns="http://schemas.openxmlformats.org/officeDocument/2006/custom-properties" xmlns:vt="http://schemas.openxmlformats.org/officeDocument/2006/docPropsVTypes"/>
</file>