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pilnveidot anotācijas 7. sadaļu, izvērtējot un atspoguļojot noteikumu projekta ietekmi uz projekta izpildes nodrošināšanu un institūciju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projekts šo jomu neskar, tomēr no noteikumu projekta un anotācijas izriet, ka tiek būtiski mainīta Ekonomikas ministrijas, Veselības ministrijas, Viedās administrācijas un reģionālās attīstības ministrijas, Klimata un enerģētikas ministrijas, kā arī pašvaldību iesaiste kūrorta statusa noteikšanas, pārskatīšanas un atcelšanas procesā, tostarp mainās institūciju funkciju izpildes kārtība, savstarpējā sadarbība un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tiek mainīti arī pašvaldībām noteiktie informācijas sniegšanas pienākumi, tostarp to izpildes biežums un saturs, kā arī paredzēti jauni pienākumi attiecībā uz informācijas publicēšanu, aktualizēšanu un kompetento institūciju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izpildes nodrošināšanā iesaistītās institūcijas (7.1.), izvērtēt projekta ietekmi uz to funkciju izpildi (7.4.), kā arī sniegt pamatotu izvērtējumu par projekta ietekmi uz administratīvajām prasībām (7.2.).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anotācijā lietoto termina "administratīvais slogs"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vairākkārt norādīts, ka noteikumu projekts būtiski mazina administratīvo slogu teritoriju noteikšanas un kūrorta statusa piešķiršanas procesā, tomēr minētais pamatojums attiecas galvenokārt uz administratīvā procesa, institucionālās sadarbības un lēmumu pieņemšanas kārtības pilnveidošanu (piemēram, komisijas darbības izbeigšanu, Ministru kabineta lēmuma aizstāšanu ar Ekonomikas ministrijas lēmumu, noklusējuma saskaņošanas principa ieviešanu un procedūras vienkāršošanu), nevis uz regulējuma adresātiem noteikto administratīvo pienākumu izmaiņām (informācijas sniegšanas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lietot terminu "administratīvais slogs" atbilstoši administratīvā sloga izvērtēšanas metodikai, skaidri nošķirot administratīvās prasības (informācijas sniegšanas pienākumi un atbilstības prasības) no administratīvā procesa, institūciju funkciju, kompetences un darba organizācijas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27.07.2026.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27.07.2026.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