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Preču un pakalpojumu piekļūstamības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juristu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Preču un pakalpojumu piekļūstamības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“Latvijas Juristu apvienība” ir iepazinusies ar Finanšu ministrijas virzīto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likumprojektu pakotni, kas paredz patērētāju kreditēšanas nozares uzraudzības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funkciju nodošanu Latvijas Bankai, un vēlas paust iebildumus pret piedāvāto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modeļa maiņu.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Pirmkārt, uzsveram, ka piedāvātā reforma nav uzskatāma par tehnisku funkciju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pārdali, bet gan par būtisku institucionālu pārveidi ar plašu ietekmi uz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sektora uzraudzības sistēmu, patērētāju tiesību aizsardzību un uzņēmējdarbības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vidi kopumā. Tomēr likumprojektu anotācijās nav nodrošināts pilnvērtīgs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sākotnējais ietekmes izvērtējums. Nav analizēta reformas ietekme uz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intensitāti, administratīvo slogu, datu pieprasījumu apjomu un tirgus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dalībnieku izmaksām, kā arī nav sniegts pietiekams izvērtējums par Latvijas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Bankas institucionālo kapacitāti pārņemt patērētāju tiesību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funkcijas.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Otrkārt, nav izvērtēti alternatīvi risinājumi. Nav analizēta iespēja pilnveidot esošo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modeli, stiprinot institucionālo sadarbību vai precizējot funkciju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sadalījumu starp iesaistītajām iestādēm. Līdz ar to nav pierādīts, ka izvēlētais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centralizācijas modelis ir samērīgākais un efektīvākais risinājums.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Treškārt, pastāv būtiski riski attiecībā uz regulējuma piemērošanas skaidrību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prognozējamību. Nav pietiekami definēti turpmākās uzraudzības pieejas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pamatprincipi, sankciju piemērošanas kritēriji un līdzšinējās interpretācijas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prakses pēctecība. Tas var radīt nevienveidīgu normu piemērošanu un palielināt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administratīvo slogu tirgus dalībniekiem.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Īpaši uzsverams, ka patērētāju tiesību aizsardzības funkcija pēc būtības atšķiras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prudenciālās uzraudzības. Līdzšinējā pieeja balstīta uz patērētāju uzvedības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faktiskās ietekmes izvērtējumu, savukārt centrālās bankas modelis primāri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orientēts uz finanšu stabilitāti un formālu atbilstību. Šāda pieeju transformācija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 radīt nesamērīgu regulatīvo iejaukšanos un nepietiekamu uzmanību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faktiskajām interesēm.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vēršam uzmanību uz Eiropas Savienības tiesisko regulējumu.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Gadījumos, kad patērētāju tiesību aizsardzības funkcija tiek integrēta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regulatorā, tas parasti tiek īstenots, izveidojot skaidri nodalītu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struktūru ar atsevišķu mandātu. Šāds modelis būtiski atšķiras no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klasiskā centrālās bankas darbības ietvara. Likumprojektu anotācijās šāda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institucionāla transformācija nav pietiekami izvērtēta.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Tāpat nav pietiekami analizēta piedāvātā modeļa atbilstība Regulai (ES)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2017/2394, īpaši attiecībā uz kompetentās iestādes spēju nodrošināt efektīvu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kolektīvo patērētāju interešu aizsardzību un pilnvērtīgu dalību CPC sadarbības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mehānismos. Formāla funkciju nodošana Latvijas Bankai pati par sevi negarantē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šīs regulas mērķu sasniegšanu, ņemot vērā tās institucionālo mandātu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pieeju. No likumprojektiem nav skaidrs, vai CPC regulā konkrēti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identificētas pilnvaras, kas ir obligātas kompetentajai iestādei (piemēram,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tiesības veikt slēptās pirkumu pārbaudes, pieprasīt datu izpaušanu, piemērot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sankcijas), visas pilnā apjomā tiek piešķirtas Latvijas Bankai.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jāņem vērā arī Direktīvas (ES) 2023/2225 (CCD II) prasības, kas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paredz augstu patērētāju aizsardzības līmeni kreditēšanas jomā un efektīvu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mehānismu nodrošināšanu. Lai nodrošinātu direktīvas mērķu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sasniegšanu, ir būtiski, lai kompetentā iestāde būtu ne tikai formāli noteikta, bet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arī funkcionāli piemērota patērētāju tiesību aizsardzības īstenošanai. Tāpat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jāņem vērā CCD II un uzraudzības reformas laika neatbilstība - direktīva pilnā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apmērā piemērojama no 2026. gada novembra, taču reforma stājas spēkā 2027.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gada janvārī, kas rada iespējamu regulatīvu vakuumu.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Visbeidzot, uzsveram, ka regulējuma prognozējamība ir būtisks priekšnoteikums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stabilai uzņēmējdarbības videi. Nepietiekami pamatota institucionāla reforma var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palielināt regulatīvo nenoteiktību, negatīvi ietekmēt investīciju vidi un ierobežot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konkurenci un inovāciju finanšu sektorā.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aicinām pirms turpmākas likumprojektu pakotnes virzības: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nodrošināt pilnvērtīgu ietekmes izvērtējumu;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veikt alternatīvu risinājumu analīzi;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izvērtēt atbilstību Eiropas Savienības regulējumam, īpaši Regulai (ES)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2017/2394 un Direktīvai (ES) 2023/2225.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Bunka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07.05.2026.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07.05.2026.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