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r w:rsidR="00000000" w:rsidRPr="00000000" w:rsidDel="00000000">
              <w:rPr>
                <w:vertAlign w:val="superscript"/>
                <w:rtl w:val="0"/>
              </w:rPr>
              <w:t xml:space="preserve">1</w:t>
            </w:r>
            <w:r w:rsidR="00000000" w:rsidRPr="00000000" w:rsidDel="00000000">
              <w:rPr>
                <w:rtl w:val="0"/>
              </w:rPr>
              <w:t xml:space="preserve"> Finansējuma saņēmējs un viņa sadarbības partneri nodrošina saimnieciskās darbības izmaksu nodalīšanu grāmatvedības uzskaitē un to, ka investīcijas ietvaros saņemtais atbalsts netiek izmantots saimnieciskajai darbībai, ja finansējuma saņēmējs vai viņa sadarbības partneri veic saimniecisko darbību, tostarp, saskaņā ar Biedrību un nodibinājumu likumā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 iebilst pret grozījumiem un aicina neierobežot projekta mērķa sasniegšanu ilgtermiņā. Tādēļ aicinām izteikt punktu sekojošā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īstenošanas laikā finansējuma saņēmējs un viņa sadarbības partneri nodrošina saimnieciskās darbības izmaksu nodalīšanu grāmatvedības uzskaitē un to, ka investīcijas ietvaros saņemtais atbalsts netiek izmantots saimnieciskajai darbībai, ja finansējuma saņēmējs vai viņa sadarbības partneri veic saimniecisko darbību, tostarp, saskaņā ar Biedrību un nodibinājumu likumā noteikto. Pēc projekta beigām finansējuma saņēmējs un  viņa sadarbības partneri jebkurus ekonomiskos ieguvumus, kas rodas no projekta īstenošanas, var izmantot tādā veidā, lai tie dotu ieguldījumu projekta mērķa sasniegšanai ilgtermiņā, tai skaitā, izmantojot tos saimnieciskās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Zonberga (LPA)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08.59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07.02.2023. 08.59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