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kā atbalsts, kas nekvalificējas kā komercdarbības atbalsts. Atbalsts nekvalificējas kā komercdarbības atbalsts, ja projekta iesniedzējam paredzētais atbalsts tiek sniegts darbībām, kas nav saistītas ar saimnieciskās darbības veikšanu vai tāds atbalsts, kuru piešķirot, tas neatbilst vismaz vienai Komercdarbības atbalsta kontroles likuma 5.pantā noteiktajai komercdarbības atbalstu raksturojošajai pazīmei.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atsaukties uz prioritāro projekta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kā atbalsts, kas nekvalificējas kā komercdarbības atbalsts. Atbalsts nekvalificējas kā komercdarbības atbalsts, ja projekta iesniedzējam paredzētais atbalsts tiek sniegts darbībām, kas nav saistītas ar saimnieciskās darbības veikšanu vai tāds atbalsts, kuru piešķirot, tas neatbilst vismaz vienai Komercdarbības atbalsta kontroles likuma 5.pantā noteiktajai komercdarbības atbalstu raksturojošajai pazīmei.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6.2. apakšpunkta otro teikumu, neskaidrojot Komercdarbības atbalsta kontroles likuma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ne vairāk kā 50 000 euro, ja ārvalstu apmeklētāju un (vai) ārvalstu dalībnieku skaits pasākumā ir ne mazāk kā 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vārdus un pieturzīmi "un/vai" aizstāt ar saikli "un" vai saikli "vai", jo no nav skaidrs, vai ar vārdiem un pieturzīmi "un/vai"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11.</w:t>
            </w:r>
            <w:r w:rsidR="00000000" w:rsidRPr="00000000" w:rsidDel="00000000">
              <w:rPr>
                <w:rtl w:val="0"/>
              </w:rPr>
              <w:t xml:space="preserve"> punktā iekļautie kritēriji tiek izvērtēti, balstoties uz pēdējā noslēgtā finanšu gada datiem. Kritēriji attiecas uz visiem prioritāro projekta iesniedzējiem, izņemot pašvaldības, speciālās ekonomiskās zonas pārvaldes, ostu pārvaldes, Biedrību un nodibinājumu reģistrā reģistrētas valsts vai pašvaldību dibinātas biedrības vai nodibinājumus, plānošanas reģionus un zinātniskās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pēc kādiem kritērijiem paredzēts vērtēt pašvaldības, speciālās ekonomiskās zonas pārvaldes, ostu pārvaldes, Biedrību un nodibinājumu reģistrā reģistrētas valsts vai pašvaldību dibinātas biedrības vai nodibinājumus, plānošanas reģionus un zinātniskās institūcijas, kas piesakās atbalstam attiecībā uz šo noteikumu 11. punktā norādītajām atbalstāmajām darbībām. Norādām, ja projekta iesniedzēji tiek sarindoti atbilstoši piešķirtajiem punktiem, tad no noteikumu projekta neizriet, kā šādos gadījumos tiek novērtēti minētie subjekti iepretim subjektiem, kuri tiek vērtēti iepretim 11. punktā iekļautajiem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Prioritārā projekta iesniedzējs atbalstam par šo noteikumu </w:t>
            </w:r>
            <w:r w:rsidR="00000000" w:rsidRPr="00000000" w:rsidDel="00000000">
              <w:rPr>
                <w:rtl w:val="0"/>
              </w:rPr>
              <w:t xml:space="preserve">8.</w:t>
            </w:r>
            <w:r w:rsidR="00000000" w:rsidRPr="00000000" w:rsidDel="00000000">
              <w:rPr>
                <w:rtl w:val="0"/>
              </w:rPr>
              <w:t xml:space="preserve"> punktā minētajām darbībām un izmaksām piesakās atbilstoši šo noteikumu ietvaros izvirzītajām prasībām. Elektroniski izveidotu prioritārā projekta pieteikumu strukturētā formā iesniedz valsts platformā biznesa attīstībai www.business.gov.lv., pievienojot šādu informāciju un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projekta 21. punktu (iepriekš noteikumu projekta 22. punkts) atkārtoti lūdzam skaidrot, kurā speciālajā likumā iekļauts regulējums, kas paredz no Administratīvā procesa likuma atšķirīgu regulējumu attiecībā uz iesnieguma iesniegšanas formu, proti, tikai elektroniski. Pašlaik izziņā iekļautais skaidrojums nav pietiekams, jo Administratīvā procesa likums ir augstāka juridiskā spēka normatīvais akts nekā Ministru kabineta noteikumi, kurus savā skaidrojumā izziņā min noteikumu projekta autori.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Atbalsta uzskaite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IV nodaļas nosaukumu, jo tajā ietverts ne tikai atbalsta uzskaites regulējums, bet arī atbalsta atmaksas nosacījumi (noteikumu projekta 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16.09.2025.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16.09.2025.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