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Aizsargjoslu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23.</w:t>
            </w:r>
            <w:r w:rsidR="00000000" w:rsidRPr="00000000" w:rsidDel="00000000">
              <w:rPr>
                <w:b w:val="1"/>
                <w:vertAlign w:val="superscript"/>
                <w:rtl w:val="0"/>
              </w:rPr>
              <w:t xml:space="preserve">3</w:t>
            </w:r>
            <w:r w:rsidR="00000000" w:rsidRPr="00000000" w:rsidDel="00000000">
              <w:rPr>
                <w:b w:val="1"/>
                <w:rtl w:val="0"/>
              </w:rPr>
              <w:t xml:space="preserve"> pants. Aizsargjosla gar valsts robežas joslu, kas noteikta gar ārējo robežu, un patrulēšanas 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Aizsargjoslu gar valsts robežas joslu, kas noteikta gar ārējo robežu, un patrulēšanas joslu nosaka, lai nodrošinātu ārējās sauszemes robežas apsardzībai nepieciešamās infrastruktūras, tostarp tehnoloģiskās infrastruktūras un inženierbūvju drošību un ekspluatāciju.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Aizsargjoslas platums ir 30 metri, sākot no valsts robežas joslas, kas noteikta gar ārējo robežu, iekšējās malas un patrulēšanas joslas malas, kas nesaskaras ar valsts robežu un robežzīmju uzraudzības 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Aizsargjoslas gar valsts robežas joslu, kas noteikta gar ārējo robežu, un patrulēšanas joslu noteikšanas metodiku izstrādā Iekšlietu ministrija un to saskaņo ar Zemkopības ministriju.".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23.</w:t>
            </w:r>
            <w:r w:rsidR="00000000" w:rsidRPr="00000000" w:rsidDel="00000000">
              <w:rPr>
                <w:vertAlign w:val="superscript"/>
                <w:rtl w:val="0"/>
              </w:rPr>
              <w:t xml:space="preserve">3</w:t>
            </w:r>
            <w:r w:rsidR="00000000" w:rsidRPr="00000000" w:rsidDel="00000000">
              <w:rPr>
                <w:rtl w:val="0"/>
              </w:rPr>
              <w:t xml:space="preserve"> pantu ar 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Aizsargjoslā aizliegts veikt saimniecisko darbību un jebkāda veida būvniecību (tai skaitā pagaidu būvju uzstādīšanu), atsavināt nekustamo īpašumu, kas atrodas aizsargjoslā, mainīt teritorijas izmantošanas veidu teritorijas plānošanas dokumentos bez saskaņošanas ar Iekšlietu ministriju un Aizsardzības ministriju. Aizliegums atsavināt nekustamo īpašumuierakstāms zemesgrāmatā bez īpašnieka piekrišanas, pamatojoties uz Iekšlietu ministrijas nostiprinājuma lūgumu."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Līva Rogule (AM)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24-TA-1951</w:t>
    </w:r>
    <w:r>
      <w:br/>
    </w:r>
    <w:r w:rsidR="00000000" w:rsidRPr="00000000" w:rsidDel="00000000">
      <w:rPr>
        <w:rtl w:val="0"/>
      </w:rPr>
      <w:t xml:space="preserve">Izdrukāts 12.09.2025. 14.58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24-TA-1951</w:t>
    </w:r>
    <w:r>
      <w:br/>
    </w:r>
    <w:r w:rsidR="00000000" w:rsidRPr="00000000" w:rsidDel="00000000">
      <w:rPr>
        <w:rtl w:val="0"/>
      </w:rPr>
      <w:t xml:space="preserve">Izdrukāts 12.09.2025. 14.58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Atzinumi_24-TA-1951.docx</dc:title>
</cp:coreProperties>
</file>

<file path=docProps/custom.xml><?xml version="1.0" encoding="utf-8"?>
<Properties xmlns="http://schemas.openxmlformats.org/officeDocument/2006/custom-properties" xmlns:vt="http://schemas.openxmlformats.org/officeDocument/2006/docPropsVTypes"/>
</file>