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nodaļā 4.1. Papildus plānotie mērķa scenārija pasākumi, 3. Rīcības virzienā - emisiju samazināšana no sadedzināšanas iekārtām mājsaimniecību sektorā un mazajos uzņēmumos, kas netiek regulēti valsts līmenī, CSP ir minēta kā līdzatbildīgā iestāde (atbildīgās institūcijas  ir VZD, TM un KEM) pie Plāna M.3.2.2 apakšuzdevuma pie pasākumu “Nekustamā īpašuma valsts kadastra informācijas sistēmas papildināšana ar informāciju par mājsaimniecībās un mazajos uzņēmumos izmantotajām apkures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pasākuma aprakstu tiek plānots, ka Nekustamā īpašuma valsts kadastra informācijas sistēmā tiek uzkrāta informācija par mājsaimniecībās un mazajos uzņēmumos esošo apkures iekārtu veidiem, tajās izmantoto kurināmā veidu un iekārtu vecumu.  CSP rīcībā par mājsaimniecībām ir izlases veida aptauju dati, kas tiek iegūti reizi piecos gados, veicot apsekojumu “Energoresursu apsekojums mājsaimniecībās - 1-EPM”. Norādām, ka nesenākie dati no izlases veida apsekojuma pieejami par 2020.gadu, kur atbildēja 6384 mājsaimniecības, 2025.gadā plānots līdzīgs apjoms. Papildus norādām, ka šādi dati pieļauj tiešu vai netiešu privātpersonas identifikāciju. Saskaņā ar Statistikas likuma 17.pantu par Datu apstrādi un statistisko konfidencialitāti, minētos datus drīkst izplatīt, ja ir saņemta attiecīgās privātpersonas rakstveida atļauja (25.pants par Datu pieejamības vispārējie noteikumiem), kurā norādīts izplatāmo datu veids un laikposms. Šobrīd atļauja no aptaujas dalībniekam nav saņemta.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Lazdiņa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iebildumu par Plāna projekta 3.3.4.pasākumu. Ekonomikas ministrija neiebilst, ka normatīvajā regulējumā ir jāietver prasības energoefektivitāte un klimata neitralitātes sasniegšanai.  Nav skaidrs kāda veida pētījums/vērtējums ir paredzēts Plāna projekta 3.3.4. punktā (1.uzdevums) un kāpēc tas ir nepieciešams. Šāda pētījuma veikšana, Ekonomikas ministrijas prāt, nav lietderīga. Turklāt, pasākums ir saistīts tieši ar prasību noteikšanu izmešiem, kas ietekmē gaisa kvalitāti, nevis energoefektivitātes prasībām vai CO2 emisiju jautājumiem. EM kompetencē neietilpst gaisa kvalitātes prasību noteikšana. Līdz ar to, EM var iestrādāt nepieciešamas prasības būvnormatīvā, ja KEM kā līdzatbildīgā institūcija tās definēs.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salāgot plāna projekta 4. sadaļā un 3. pielikumā norādīto informāciju, jo piedāvātajā redakcijā tā joprojām atšķiras, tostarp, attiecībā uz norādītajām atbildīgajām institūcijām. Vienlaikus, ņemot vērā, ka plāna projekta pasākums Nr. M.1.3.2. ir definēts kā viens no papildus nepieciešamajiem pasākumiem, lūdzam novērst pretrunu tā rezultatīvajā rādītājā, jo nav skaidra rezultatīvā rādītāja “1) Izstrādāti nosacījumi atbalsta turpināšanai KPP 2.1.1 SAM pasākumu ietvaros” pamatotība, ņemot vērā, ka plāna projekta 3. pielikumā nav norādīts, ka plāna projekta pasākuma Nr. M.1.3.2. finansējuma avots ir ES fondu 2021.- 2027. gada plānošanas perioda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29.12.2025.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29.12.2025.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