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datu kvalitātes pilnveidošanas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VM secinājumu, ka diagnozes koda obligātums šobrīd nav optimālākais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kā iemeslus atteikumam ieviest diagnozes kodu norāda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lietotājam draudzīgas saskarnes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Risku, ka vadlīnijām un atgriezeniskās saiknes neesamības pastāv “formālas kodēšanas”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sloga pieaugumu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diagnozes koda ieviešana pati par sevi neatrisina savietojamību ar citiem datu avotiem un neievieš automātiskas kvalitātes pārbaudes, vienlaikus pieprasot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neviens no minētajiem iemesliem ne atsevišķi, ne visi kopā nevar būt šķērslis diagnozes koda norādīšanai e-veselībā.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uzstādīta vismaz sākotnējā diagnoze, nav iespējami nākamie veselības aprūpes pasākumi. Savukārt, ja ir uzstādīta diagnoze, tad tās ierakstīšana atvērtā e-veselības portālā, nevar būt tāds apgrūtinājums, lai valsts “izmestu vējā” vērtīgus datus, kas dotu iespēju ātrāk un precīzāk analizēt sabiedrības veselību un DNL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to, ka Projektā piedāvātajā risinājumā nav ietverta prasība norādīt diagnozi.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darbnespējas lapas epizode darba devējam tikai pozīcijā “slimības nauda” izmaksā vidēji 600 euro. Savukārt Invaliditātes, maternitātes un slimības speciālā budžeta (kas arī ir veidots no darba devēju un darba ņēmēju iemaksām) izdevumi par vienu darbnespējas lapas “B” šā gada janvārī bija vidēji 813 euro, bet 2025.gadā slimības pabalstu izmaksai tika izlietoti 335,8 miljoni euro. Tie ir ļoti ievērojami līdzekļi, un ir ļoti vēlams, lai tiem pretī būtu iespējami pilnīgāka informācija.  Papildus jānorāda, ka darbnespēja negatīvi ietekmē arī iekšzemes kopprodukta apjomu, kam savukārt ir negatīva ietekme uz iedzīvotāju ienākumiem un uz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viens no darbnespējas lapu datu kvalitātes pilnveidošanas priekšnoteikumiem ir nodrošināt, lai pretī katrai darbnespējas lapai e-veselības portālā būtu iereģistrēta diagnoze.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20.03.2026.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20.03.2026.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Atzinumi_26-TA-404.docx</dc:title>
</cp:coreProperties>
</file>

<file path=docProps/custom.xml><?xml version="1.0" encoding="utf-8"?>
<Properties xmlns="http://schemas.openxmlformats.org/officeDocument/2006/custom-properties" xmlns:vt="http://schemas.openxmlformats.org/officeDocument/2006/docPropsVTypes"/>
</file>