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48.3.3. atjaunojamās enerģijas avots atbilst Eiropas Parlamenta un Padomes Direktīvā (ES) 2018/2001 (2018.gada 11.decembris) </w:t>
            </w:r>
            <w:r w:rsidR="00000000" w:rsidRPr="00000000" w:rsidDel="00000000">
              <w:rPr>
                <w:i w:val="1"/>
                <w:rtl w:val="0"/>
              </w:rPr>
              <w:t xml:space="preserve">par no atjaunojamajiem energoresursiem iegūtas enerģijas izmantošanas veicināšanu</w:t>
            </w:r>
            <w:r w:rsidR="00000000" w:rsidRPr="00000000" w:rsidDel="00000000">
              <w:rPr>
                <w:rtl w:val="0"/>
              </w:rPr>
              <w:t xml:space="preserve"> 2.panta 1.punktā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48.3.3. apakšpunktā ietverto atsauci uz direktīvu aizstāt ar atsauci uz nacionālo normatīvo tiesību aktu, kurā konkrētā direktīva ir pārņemta. Vēršam uzmanību, ka atbilstoši Līguma par Eiropas Savienības darbību 288. panta trešajai daļai direktīvas dalībvalstīm uzliek saistības attiecībā uz sasniedzamo rezultātu, bet ļauj dalībvalstīm izvēlēties to īstenošanas formas un metodes. Proti, direktīvas atšķirībā no regulām nav tieši piemērojamas un tās kļūst saistošas personām tikai no brīža, kad tās ir pārņemtas Latvijas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48.10. atbalsta saņēmējs atbilstoši regulas Nr. 651/2014 14. panta 5.punktam nodrošina, ka pēc ieguldījuma pabeigšanas ieguldījums paliek attiecīgajā apgabalā lielā komersanta gadījumā vismaz piecus gadus vai mazā un vidējā komersanta gadījumā vismaz trīs gadus. Tas neliedz aizstāt minētajā periodā novecojušās vai bojātās ražotnes vai aprīkojumu, ja vien konkrētā saimnieciskā darbība attiecīgajā apgabalā tiek turpināta vismaz minimālo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48.10. apakšpunktu, nepārrakstot tajā Eiropas Komisijas 2014. gada 17. jūnija Regulas (ES) Nr. 651/2014, ar ko noteiktas atbalsta kategorijas atzīst par saderīgām ar iekšējo tirgu, piemērojot Līguma 107. un 108. pantu, 14. panta 5. punktā ietverto regulējumu. 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11.09.2023.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11.09.2023.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