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kompetentās institūcijas konkurences jomā lēmumu, kas stājies spēkā un nav apstrīdams un pārsūdzams, Pārvadātājs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1.punktā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tiesību normai ir jābūt skaidrai un saprotamai, lai tās lietotājs un piemērotājs gūtu nepārprotamu priekšstatu par savām tiesībām, pienākumiem un juridiskām sekām. Attiecīgajā gadījumā tas ir nepieciešams, lai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informācijas avots būs Konkurences padome, tad lūgums to arī norādīt projektā vai projekta sākotnējās (</w:t>
            </w:r>
            <w:r w:rsidR="00000000" w:rsidRPr="00000000" w:rsidDel="00000000">
              <w:rPr>
                <w:i w:val="1"/>
                <w:rtl w:val="0"/>
              </w:rPr>
              <w:t xml:space="preserve">ex-ante</w:t>
            </w:r>
            <w:r w:rsidR="00000000" w:rsidRPr="00000000" w:rsidDel="00000000">
              <w:rPr>
                <w:rtl w:val="0"/>
              </w:rPr>
              <w:t xml:space="preserve">) ietekmes novērtējuma ziņojumā (anotācijā). Savukārt, ja tas būs Iekšlietu ministrijas Informācijas centrs, tad vēršama uzmanība, ka Iekšlietu ministrijas Informācijas centra pārziņā esošajā valsts informācijas sistēmā “Sodu reģistrs” nav pieejama informācija attiecībā uz projekta 7.pantā ietvertajā Sabiedriskā transporta pakalpojumu likuma 17.panta trešās daļas 1.punktā paredzēto līguma laušanas nosacījumu – </w:t>
            </w:r>
            <w:r w:rsidR="00000000" w:rsidRPr="00000000" w:rsidDel="00000000">
              <w:rPr>
                <w:i w:val="1"/>
                <w:rtl w:val="0"/>
              </w:rPr>
              <w:t xml:space="preserve">pārvadātājs ar kompetentās institūcijas konkurences jomā lēmumu ir atzīts par vainīgu konkurences tiesību pārkāpumā, kas izpaužas kā horizontālā karteļa vienošanās, izņemot gadījumu, kad attiecīgā institūcija, konstatējot konkurences tiesību pārkāpumu, par sadarbību iecietības programmas ietvaros pārvadātāju ir atbrīvojusi no naudas soda vai naudas sodu samazinājusi </w:t>
            </w:r>
            <w:r w:rsidR="00000000" w:rsidRPr="00000000" w:rsidDel="00000000">
              <w:rPr>
                <w:rtl w:val="0"/>
              </w:rPr>
              <w:t xml:space="preserve">(Konkurences likuma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Ministru kabineta 2014.gada 23.septembra noteikumu Nr.563 “Noteikumi par ziņu sniegšanu un saņemšanu no Sodu reģistra” 18.punktu Konkurences padome par konkurences tiesību pārkāpumus izdarījušo personu reģistrā iekļauj atzīmi par to, vai atbilstoši konstatētajam pārkāpumam kandidāts vai pretendents izslēdzams no iepirkuma procedūras atbilstoši Publisko iepirkumu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ir redzams tikai sods un atzīme par to, vai attiecīgais subjekts ir izslēdzams no iepirkuma procedūrām. Sodu reģistrā nav informācijas, vai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izziņu par atzinumos sniegtajiem iebildumiem vai priekšlikumiem, ņemot vērā, ka Iekšlietu ministrija nav atsaukusi savā 2024.gada 26.janvāra atzinumā ietverto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Pārvadātājs ir izdarījis smagu profesionālās darbības pārkāpumu, kas liek apšaubīt tā godīgumu, un šis fakts ir atzīts ar tādu kompetentas institūcijas lēmumu, tiesas spriedumu vai prokurora priekšrakstu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02.oktobra atzinumā izteikto iebildumu, kas paredz precizēt projektu vai projekta sākotnējās (</w:t>
            </w:r>
            <w:r w:rsidR="00000000" w:rsidRPr="00000000" w:rsidDel="00000000">
              <w:rPr>
                <w:i w:val="1"/>
                <w:rtl w:val="0"/>
              </w:rPr>
              <w:t xml:space="preserve">ex-ante</w:t>
            </w:r>
            <w:r w:rsidR="00000000" w:rsidRPr="00000000" w:rsidDel="00000000">
              <w:rPr>
                <w:rtl w:val="0"/>
              </w:rPr>
              <w:t xml:space="preserve">) ietekmes novērtējuma ziņojumu (anotāciju), norādot projekta 7.pantā ietvertajā Sabiedriskā transporta pakalpojumu likuma 17.panta trešās daļas 2.punktā paredzētās informācijas avotu, apjomu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vēršama uzmanība, ka tiesību normai ir jābūt skaidrai un saprotamai, lai tās lietotājs un piemērotājs gūtu nepārprotamu priekšstatu par savām tiesībām, pienākumiem un juridiskām sekām. Attiecīgajā gadījumā tas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pasūtītājam būtu skaidri zināms, pie kā tam būtu jāvēršas pēc attiecīgās informācijas, kā arī kādā veidā tas būtu īstenojams;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pārvadātājam būtu skaidri zināms, par kādiem administratīvajiem pārkāpumiem vai noziedzīgiem nodarījumiem tas nedrīkst būt sodīts, lai pasūtītājam nerastos vienpusēja tiesība atkāpties no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gadījumā, ja projekta 7.pantā ietvertajā Sabiedriskā transporta pakalpojumu likuma 17.panta trešās daļas 2.punktā paredzēto informāciju plānots iegūt no valsts informācijas sistēmas “Sodu reģistrs”, tad, lai Iekšlietu ministrijas Informācijas centrs kā valsts informācijas sistēmas “Sodu reģistrs” pārzinis, kas ir atbildīgs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ievērotu datu apstrādes minimizēšanas principu, sniedzot pasūtītājam ziņas par administratīvajiem pārkāpumiem vai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 izziņu par atzinumos sniegtajiem iebildumiem vai priekšlikumiem, ņemot vērā, ka Iekšlietu ministrija nav atsaukusi savā 2024.gada 26.janvāra atzinumā ietverto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09.05.2024. 06.59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09.05.2024. 06.59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