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likumprojektā ietvertais regulējums citastarp ir "juridiski pamatots un piemērots sabiedrības veselības aizsardzībai, [..] ievēro ES un EST samērīguma principus – mērķis, nepieciešamība un šaurais samērīgums". Izziņā vairākkārt arī norādīts, ka "</w:t>
            </w:r>
            <w:r w:rsidR="00000000" w:rsidRPr="00000000" w:rsidDel="00000000">
              <w:rPr>
                <w:i w:val="1"/>
                <w:rtl w:val="0"/>
              </w:rPr>
              <w:t xml:space="preserve">[r]egulējums ir samērīgs, un atbilst sabiedrības veselības aizsardzības un ES iekšējā tirgus principiem</w:t>
            </w:r>
            <w:r w:rsidR="00000000" w:rsidRPr="00000000" w:rsidDel="00000000">
              <w:rPr>
                <w:rtl w:val="0"/>
              </w:rPr>
              <w:t xml:space="preserve">". Saistībā ar minēto aicinām izvērstāk pamatot atbilstību Eiropas Savienības tiesiskajam regulējumam pēc būtības, tostarp skaidrojot, kā tieši regulējums atbilst Eiropas Savienības iekšējā tirgus principiem. Ņemot vērā, ka likumprojektā paredzētais regulējums pēc būtības paredz ierobežojumus preču brīvai apritei iekšējā tirgū, aicinām izvērstāk pamatot ierobežojumu leģitīmo mērķi un samērīgumu, attiecīgi skaidrojot atbilstību Līgumam par Eiropas Savienības darbību. Citastarp aicinām precizēt anotācijā ietverto teikumu, jo no anotācijas neizriet, kas domāts ar "EST samērīguma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 (Valērija Ruta Hartmane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13.03.2026. 08.13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13.03.2026. 08.13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