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rīkojuma projekta pielikumā (projekta pasē) un anotācijā norādīto projekta īstenošanas ilgumu (40 mēneši) un tā uzsākšanas brīdi (2026. gada III ceturksnis), ņemot vērā, ka rīkojuma projekts vēl nav apstiprināts, un saskaņā ar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36. punktu </w:t>
            </w:r>
            <w:r w:rsidR="00000000" w:rsidRPr="00000000" w:rsidDel="00000000">
              <w:rPr>
                <w:i w:val="1"/>
                <w:rtl w:val="0"/>
              </w:rPr>
              <w:t xml:space="preserve">maksimālais projekta īstenošanas ilgums ir trīs gadi vai cits ar Ministru kabineta lēmumu noteikts termiņš, bet ne ilgāk par 2029. gada 31. decembri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5.1.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atsauci, vai 5.1.1. 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 atsauci, vai projekta kopējais finansējums tiek ieskaitīts 1.3.1.1. pasākuma iznākuma rādītāja "saimnieciskās darbības veicējiem izstrādāto digitālo pakalpojumu, produktu un procesu vērtība"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Jansone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Vai ir izvērtēts prasību un izmaksu samērīgums pret ieguvumiem ir norādīts - Nē. Priekšlikums precizēt šo sadaļu norādot, ka izmaksu samērīgums pret ieguvumiem ir izvērtēts projekta pases 6.punktā šeit norādot īsu apkopojumu par projekta ieguvumiem un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 (Cintija Ripa (CFLA)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04.09.2026.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04.09.2026.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