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pārtikas tirdzniecības vietā izvietojamo tās valsts norādi, kurā ražots pārtikas produkts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pārtikas tirdzniecības vietā izvietojamo tās valsts norādi, kurā ražots pārtikas produkts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pārtikas aprites jomā nav noteikts, kas ir valsts, kurā ražots pārtikas produkts, bet noteikumu projekta 2. punktā ietverts skaidrojums, ka šo noteikumu izpratnē par minēto valsti uzskatāma attiecīgā pārtikas produkta izcelsmes valsts, izcelsmes vieta vai ražotāja atrašanās vietas valsts, kā arī Eiropas Savienība. Tā kā  Eiropas Savienība nav valsts, tad nepiekrītam, ka tas var tikt izmantojams.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iekļaut noteikumos prasību, ka pārtikas produkta piegādes pavaddokumentos mazumtirdzniecības uzņēmumam obligāti jānorāda izcelsmes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18.06.2024.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18.06.2024.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Atzinumi_24-TA-1084.docx</dc:title>
</cp:coreProperties>
</file>

<file path=docProps/custom.xml><?xml version="1.0" encoding="utf-8"?>
<Properties xmlns="http://schemas.openxmlformats.org/officeDocument/2006/custom-properties" xmlns:vt="http://schemas.openxmlformats.org/officeDocument/2006/docPropsVTypes"/>
</file>