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Dalība Eiropas Savienības emisijas kvotu tirdzniecības sistēmā ēku, autotransporta un papildu sektoros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Degvielas un kurināmā operators veic visus verificētāja norādītos labojumus ikgadējā emisijas ziņojuma verificēšanas laikā. Ja verificēšanas laikā degvielas un kurināmā operators neveic verificētāja norādītos labojumus, verificētājam ir tiesības verificētāja ziņojumā sniegt neapmierinošu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MK noteikumu projekta 49. un 50. punkts ir identiski. Aicinām vienu no tiem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projektā ir noteiktas administratīvās un atbilstības prasības juridiskām personām (degvielas un kurināmā operatoriem, verificētājiem), ir nepieciešams veikt administratīvo izmaksu novērtējumu mērķa grupai, kā arī atbilstības izmaksu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administratīvā sloga un atbilstības prasību izvērtējums ir veicams ministru kabineta noteikumu projekta: 1. sadaļas 3. punktam; 2. sadaļas 2.1., 2.3. apakšsadaļai; 3.sadaļas 41., 44., 61. 65. punktam; 4. sadaļas 69. punktam; 6. sadaļas 80., 85., 93., 94.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Administratīvo izmaksu un atbilstības novērtējums juridiskām un fiziskām personām aprakstāms anotācijas 2. daļas 2.3, 2.4. un 2.5.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 22.-25.lp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https://www.mk.gov.lv/lv/media/16902/download?attachment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jaunas funkcijas valsts pārvaldes iestādēm, ir nepieciešams veikt administratīvo izmaksu un atbilstības prasību novērtējumu arī šai mērķa grupai. Administratīvā sloga un atbilstības prasību izvērtējums ir veicams, tostarp, attiecībā uz noteikumu projektā noteiktajām prasībām Valsts vides dienestam, Latvijas Nacionālajam akreditācijas birojam, Valsts ieņēmumu dienestam un citām iesaistītajām institūcijām, kas saistītas ar atļauju izsniegšanu, informācijas sniegšanu un apmaiņu.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administratīvā sloga un atbilstības prasību izvērtējums ir veicams ministru kabineta noteikumu projekta: 2. sadaļas 14., 17., 19., 36. punktam; 3. sadaļas 55., 59. punktam; 6.sadaļas 74., 75., 76., 79., 80., 81., 83., 84., 86., 87., 88., 89.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Valsts iestādēm administratīvo izmaksu un atbilstības izmaksu monetāru novērtējumu aprakstāms anotācijas 7. sadaļas 7.2. un 7.3.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 22.-25.lp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https://www.mk.gov.lv/lv/media/16902/download?attachment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22.12.2025.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22.12.2025.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Atzinumi_24-TA-903.docx</dc:title>
</cp:coreProperties>
</file>

<file path=docProps/custom.xml><?xml version="1.0" encoding="utf-8"?>
<Properties xmlns="http://schemas.openxmlformats.org/officeDocument/2006/custom-properties" xmlns:vt="http://schemas.openxmlformats.org/officeDocument/2006/docPropsVTypes"/>
</file>