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25-TA-576: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Govju enzootiskās leikozes uzraudzības, kontroles un apkarošanas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(Viedokļu pārskats_GEL)</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Govju enzootiskās leikozes uzraudzības, kontroles un apkarošanas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saskaņā ar Līguma par Eiropas Savienības darbību 288.panta otro daļu „</w:t>
            </w:r>
            <w:r w:rsidR="00000000" w:rsidRPr="00000000" w:rsidDel="00000000">
              <w:rPr>
                <w:i w:val="1"/>
                <w:rtl w:val="0"/>
              </w:rPr>
              <w:t xml:space="preserve">regulas ir vispārpiemērojamas. Tās uzliek saistības kopumā un ir tieši piemērojamas visās dalībvalstīs.</w:t>
            </w:r>
            <w:r w:rsidR="00000000" w:rsidRPr="00000000" w:rsidDel="00000000">
              <w:rPr>
                <w:rtl w:val="0"/>
              </w:rPr>
              <w:t xml:space="preserve">” Regulas ir aizliegts pārņemt nacionālajos tiesību aktos un tās automātiski kļūst par nacionālās tiesību sistēmas sastāvdaļu. Regulu pārņemšanas aizliegums ir noteikts Eiropas Savienības Tiesas spriedumā lietā Nr. 39/72 </w:t>
            </w:r>
            <w:r w:rsidR="00000000" w:rsidRPr="00000000" w:rsidDel="00000000">
              <w:rPr>
                <w:i w:val="1"/>
                <w:rtl w:val="0"/>
              </w:rPr>
              <w:t xml:space="preserve">Komisija pret Itāliju</w:t>
            </w:r>
            <w:r w:rsidR="00000000" w:rsidRPr="00000000" w:rsidDel="00000000">
              <w:rPr>
                <w:rtl w:val="0"/>
              </w:rPr>
              <w:t xml:space="preserve">, kur tiesa noteica, ka regula automātiski ir nacionālās tiesiskās sistēmas sastāvdaļa. Tādēļ ir prettiesiski tādi nacionālie regulas normas īstenošanas mehānismi, kas rada šķēršļus regulas tiešam efektam un apdraud vienlaicīgu un vienādu tās piemērošanu Eiropas Savienībā, bet tai pašā laikā ir jānodrošina to tiešā piemērošana katrā dalībvalstī. Tas nozīmē, ka dalībvalstij ir pienākums nodrošināt tādu normatīvo bāzi, lai regulas būtu iespējams tieši piemērot. Tātad, dalībvalsts izstrādā tiesību aktus regulas piemērošanai </w:t>
            </w:r>
            <w:r w:rsidR="00000000" w:rsidRPr="00000000" w:rsidDel="00000000">
              <w:rPr>
                <w:b w:val="1"/>
                <w:rtl w:val="0"/>
              </w:rPr>
              <w:t xml:space="preserve">tikai gadījumos, ja regulā ir tieši paredzēts dalībvalstij kāds konkrēts pienākums</w:t>
            </w:r>
            <w:r w:rsidR="00000000" w:rsidRPr="00000000" w:rsidDel="00000000">
              <w:rPr>
                <w:rtl w:val="0"/>
              </w:rPr>
              <w:t xml:space="preserve">, piemēram, jānosaka kompetentā vai atbildīgā iestāde, jāparedz sankcijas vai sods par regulas normu pārkāpumu vai nepildīšanu, jānosaka administratīvā procedūra regulā noteikto pasākumu īstenošanai u.tml. Piemēram, anotācijā skaidrots, ka ar noteikumu projekta 3. punktu ievestas</w:t>
            </w:r>
            <w:r w:rsidR="00000000" w:rsidRPr="00000000" w:rsidDel="00000000">
              <w:rPr>
                <w:i w:val="1"/>
                <w:rtl w:val="0"/>
              </w:rPr>
              <w:t xml:space="preserve"> Komisijas  2019. gada 17. decembra Deleģētās regulas (ES) 2020/689, ar ko attiecībā uz noteikumiem par noteiktu sarakstā norādītu un jaunradušos slimību uzraudzību, izskaušanas programmām un statusu "brīvs no slimības" papildina Eiropas Parlamenta un Padomes Regulu (ES) 2016/429</w:t>
            </w:r>
            <w:r w:rsidR="00000000" w:rsidRPr="00000000" w:rsidDel="00000000">
              <w:rPr>
                <w:rtl w:val="0"/>
              </w:rPr>
              <w:t xml:space="preserve"> (turpmāk – regula 2020/689) 2. panta 7. punkta prasības (skat. 5. lpp.). Norādām, ka regulas 2020/689 2. panta 7. punkts nosaka liellopa definīciju, proti, tā neparedz uzdevumus vai pienākumus dalībvalstīm. Ievērojot minēto, lūdzam attiecīgi precizēt noteikumu projektu un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Valērija Ruta Hartmane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25-TA-576</w:t>
    </w:r>
    <w:r>
      <w:br/>
    </w:r>
    <w:r w:rsidR="00000000" w:rsidRPr="00000000" w:rsidDel="00000000">
      <w:rPr>
        <w:rtl w:val="0"/>
      </w:rPr>
      <w:t xml:space="preserve">Izdrukāts 15.07.2025. 09.12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25-TA-576</w:t>
    </w:r>
    <w:r>
      <w:br/>
    </w:r>
    <w:r w:rsidR="00000000" w:rsidRPr="00000000" w:rsidDel="00000000">
      <w:rPr>
        <w:rtl w:val="0"/>
      </w:rPr>
      <w:t xml:space="preserve">Izdrukāts 15.07.2025. 09.12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Atzinumi_25-TA-576.docx</dc:title>
</cp:coreProperties>
</file>

<file path=docProps/custom.xml><?xml version="1.0" encoding="utf-8"?>
<Properties xmlns="http://schemas.openxmlformats.org/officeDocument/2006/custom-properties" xmlns:vt="http://schemas.openxmlformats.org/officeDocument/2006/docPropsVTypes"/>
</file>