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Ar komercdarbības atbalsta saņemšanu saistītie nosacījumi, ja komercdarbības atbalsts tiek piešķirts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nosaka de minimis atbalsta piešķiršanas brīdi, tādējādi ievērojot Komisijas 2023. gada 13. decembra Regulas (ES) 2023/2831 par Līguma par Eiropas Savienības darbību 107. un 108. panta piemērošanu de minimis atbalstam (turpmāk – Komisijas regula Nr. 2023/2831) 3. panta 3.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w:t>
            </w:r>
            <w:r w:rsidR="00000000" w:rsidRPr="00000000" w:rsidDel="00000000">
              <w:rPr>
                <w:i w:val="1"/>
                <w:rtl w:val="0"/>
              </w:rPr>
              <w:t xml:space="preserve">De minimis</w:t>
            </w:r>
            <w:r w:rsidR="00000000" w:rsidRPr="00000000" w:rsidDel="00000000">
              <w:rPr>
                <w:rtl w:val="0"/>
              </w:rPr>
              <w:t xml:space="preserve"> atbalstu piešķir,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regulas Nr. 2023/2831 1. panta 2. punkta prasību ievērošanu, lūdzam papildināt noteikumu projekta 37. punktu ar apakšpunktu, kas iekļauj atbilstošu nosacījumu,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saņēmējs vienlaikus darbojas vienā vai vairākās Komisijas regulas Nr.2023/2831 1.panta 1.punkta a), b), c) un d) apakšpunktā minētajās nozarēs, atbalstu drīkst piešķirt tikai tad, ja atbalsta saņēmējs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ievērojot Komisijas regulas Nr.  2023/2831 5. panta 1. un 2. punkta nosacījumus, </w:t>
            </w:r>
            <w:r w:rsidR="00000000" w:rsidRPr="00000000" w:rsidDel="00000000">
              <w:rPr>
                <w:i w:val="1"/>
                <w:rtl w:val="0"/>
              </w:rPr>
              <w:t xml:space="preserve">de minimis </w:t>
            </w:r>
            <w:r w:rsidR="00000000" w:rsidRPr="00000000" w:rsidDel="00000000">
              <w:rPr>
                <w:rtl w:val="0"/>
              </w:rPr>
              <w:t xml:space="preserve">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Nr.  2023/2831 3. panta 2. punktā noteiktajam atbilstošajam robežlielumam, kā arī drīkst kumulēt ar citu valsts atbalstu, tai skaitā attiecībā uz vienām un tām pašām attiecināmajām izmaksām, ja šīs kumulācijas rezultātā netiek pārsniegta attiecīgā maksimālā atbalsta intensitāte vai atbalsta summa, kāda noteikta valsts atbalsta programmā vai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kumulācijas prasību ievērošanu, lūdzam noteikumu projekta 37.3. apakšpunktu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ievērojot Komisijas regulas Nr.  2023/2831 5. panta 1. un 2. punkta nosacījumus,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finansējuma saņēmējs un sadarbības partneris (ja attiecināms)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13.2.1.</w:t>
            </w:r>
            <w:r w:rsidR="00000000" w:rsidRPr="00000000" w:rsidDel="00000000">
              <w:rPr>
                <w:rtl w:val="0"/>
              </w:rPr>
              <w:t xml:space="preserve"> apakšpunktā minētajam finansējuma saņēmējam, kas sniedz valsts apmaksātos ģimenes ārsta pakalpojumus un kuram uzticēts sniegt pakalpojumus ar vispārēju tautsaimniecisku nozīmi, un šo noteikumu </w:t>
            </w:r>
            <w:r w:rsidR="00000000" w:rsidRPr="00000000" w:rsidDel="00000000">
              <w:rPr>
                <w:rtl w:val="0"/>
              </w:rPr>
              <w:t xml:space="preserve">14.2.2.</w:t>
            </w:r>
            <w:r w:rsidR="00000000" w:rsidRPr="00000000" w:rsidDel="00000000">
              <w:rPr>
                <w:rtl w:val="0"/>
              </w:rPr>
              <w:t xml:space="preserve"> ​​​​​​​ apakšpunktā minētajam sadarbības partnerim, kurš nodrošina telpas vai telpas un aprīkojumu valsts apmaksāto ģimenes ārsta pakalpojumu sniegšanai šo noteikumu </w:t>
            </w:r>
            <w:r w:rsidR="00000000" w:rsidRPr="00000000" w:rsidDel="00000000">
              <w:rPr>
                <w:rtl w:val="0"/>
              </w:rPr>
              <w:t xml:space="preserve">13.2.1.</w:t>
            </w:r>
            <w:r w:rsidR="00000000" w:rsidRPr="00000000" w:rsidDel="00000000">
              <w:rPr>
                <w:rtl w:val="0"/>
              </w:rPr>
              <w:t xml:space="preserve"> ​​​​​​​ apakšpunktā minētajam finansējuma saņēmējam, ja tāds ir paredzēts,  komercdarbības atbalstu piešķir atbilstoši šīs nodaļas nosacījumiem un šo noteikumu </w:t>
            </w:r>
            <w:r w:rsidR="00000000" w:rsidRPr="00000000" w:rsidDel="00000000">
              <w:rPr>
                <w:rtl w:val="0"/>
              </w:rPr>
              <w:t xml:space="preserve">54.</w:t>
            </w:r>
            <w:r w:rsidR="00000000" w:rsidRPr="00000000" w:rsidDel="00000000">
              <w:rPr>
                <w:rtl w:val="0"/>
              </w:rPr>
              <w:t xml:space="preserve"> punktā minēto attīstāmās infrastruktūras izmantošanas proporcijas aprēķinu valsts apmaksāto veselības aprūpes pakalpojumu sniegšanai un citu darbību veikšanai veic un piemēro šo noteikumu </w:t>
            </w:r>
            <w:r w:rsidR="00000000" w:rsidRPr="00000000" w:rsidDel="00000000">
              <w:rPr>
                <w:rtl w:val="0"/>
              </w:rPr>
              <w:t xml:space="preserve">13.2.1.</w:t>
            </w:r>
            <w:r w:rsidR="00000000" w:rsidRPr="00000000" w:rsidDel="00000000">
              <w:rPr>
                <w:rtl w:val="0"/>
              </w:rPr>
              <w:t xml:space="preserve"> ​​​​​​​ apakšpunktā minētajam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kā noteikumu 39. punktā lūdzam precizēt noteikumu 38.punktu, kas šajā situācijā ir gala labuma guvēji. Ja ir paredzēts, ka finansējuma saņēmējs piešķir tālāk atbalstu sadarbības partnerim vispārējas tautsaimnieciskas nozīmes pakalpojumu sniegšanai, nepieciešams to norādīt noteikumos un/vai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šajā punktā norādīto kārtību attīstāmās infrastruktūras izmantošanas proporcijas aprēķinam, jo no esošās redakcijas nav saprotams, kam (finansējuma saņēmējam vai sadarbības partnerim) infrastruktūras izmantošanas aprēķins tiek piemērots. Ja ir iespējami vairāki gadījumi, lūdzam tos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w:t>
            </w:r>
            <w:r w:rsidR="00000000" w:rsidRPr="00000000" w:rsidDel="00000000">
              <w:rPr>
                <w:rtl w:val="0"/>
              </w:rPr>
              <w:t xml:space="preserve">13.2.2.</w:t>
            </w:r>
            <w:r w:rsidR="00000000" w:rsidRPr="00000000" w:rsidDel="00000000">
              <w:rPr>
                <w:rtl w:val="0"/>
              </w:rPr>
              <w:t xml:space="preserve"> apakšpunktā minētajam finansējuma saņēmējam, kurš pats nesniedz valsts apmaksātos ģimenes ārsta pakalpojumus, bet nodrošina telpas vai telpas un aprīkojumu šo noteikumu </w:t>
            </w:r>
            <w:r w:rsidR="00000000" w:rsidRPr="00000000" w:rsidDel="00000000">
              <w:rPr>
                <w:rtl w:val="0"/>
              </w:rPr>
              <w:t xml:space="preserve">14.2.1.</w:t>
            </w:r>
            <w:r w:rsidR="00000000" w:rsidRPr="00000000" w:rsidDel="00000000">
              <w:rPr>
                <w:rtl w:val="0"/>
              </w:rPr>
              <w:t xml:space="preserve"> ​​​​​​​ apakšpunktā minētajam sadarbības partnerim valsts apmaksāto ģimenes ārsta pakalpojumu sniegšanai un kuram uzticēts sniegt pakalpojumus ar vispārēju tautsaimniecisku nozīmi, komercdarbības atbalstu piešķir atbilstoši šīs nodaļas nosacījumiem un šo noteikumu </w:t>
            </w:r>
            <w:r w:rsidR="00000000" w:rsidRPr="00000000" w:rsidDel="00000000">
              <w:rPr>
                <w:rtl w:val="0"/>
              </w:rPr>
              <w:t xml:space="preserve">54.</w:t>
            </w:r>
            <w:r w:rsidR="00000000" w:rsidRPr="00000000" w:rsidDel="00000000">
              <w:rPr>
                <w:rtl w:val="0"/>
              </w:rPr>
              <w:t xml:space="preserve"> ​​​​​​​ punktā minēto attīstāmās infrastruktūras izmantošanas proporcijas aprēķinu valsts apmaksāto veselības aprūpes pakalpojumu sniegšanai un citu darbību veikšanai veic un piemēro šo noteikumu </w:t>
            </w:r>
            <w:r w:rsidR="00000000" w:rsidRPr="00000000" w:rsidDel="00000000">
              <w:rPr>
                <w:rtl w:val="0"/>
              </w:rPr>
              <w:t xml:space="preserve">14.2.1.</w:t>
            </w:r>
            <w:r w:rsidR="00000000" w:rsidRPr="00000000" w:rsidDel="00000000">
              <w:rPr>
                <w:rtl w:val="0"/>
              </w:rPr>
              <w:t xml:space="preserve"> ​​​​​​​ apakšpunktā minētajam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39.punktu un/vai anotāciju un skaidri norādīt, kas šajā situācijā (kur finansējuma saņēmējs ir ārstniecības iestāde, kas pati nesniedz valsts apmaksātos ģimenes ārsta pakalpojumus, bet nodrošina telpas vai telpas un aprīkojumu šo noteikumu 14.2.1. apakšpunktā minētajam sadarbības partnerim valsts apmaksāto ģimenes ārsta pakalpojumu sniegšanai un kuram uzticēts sniegt pakalpojumus ar vispārēju tautsaimniecisku nozīmi </w:t>
            </w:r>
            <w:r w:rsidR="00000000" w:rsidRPr="00000000" w:rsidDel="00000000">
              <w:rPr>
                <w:b w:val="1"/>
                <w:rtl w:val="0"/>
              </w:rPr>
              <w:t xml:space="preserve">ir gala labuma guvējs</w:t>
            </w:r>
            <w:r w:rsidR="00000000" w:rsidRPr="00000000" w:rsidDel="00000000">
              <w:rPr>
                <w:rtl w:val="0"/>
              </w:rPr>
              <w:t xml:space="preserve"> - finansējuma saņēmējs vai sadarbības partneris. Ja ir paredzēts, ka finansējuma saņēmējs piešķir tālāk atbalstu sadarbības partnerim vispārējas tautsaimnieciskas nozīmes pakalpojumu sniegšanai, nepieciešams to norādīt noteikumos un/vai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sadarbības partnera statusā var piesaistīt: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14. punktu, lai nodrošinātu viennozīmīgu normu interpretāciju par to, kuri finansējuma saņēmēji (t.i. kuros noteikumu projekta apakšpunktos minētie) ir tiesīgi kā sadarbības partnerus piesaistīt citus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 anotācijas 1.3. sadaļas apakšsadaļas "Risinājuma apraksts" secināms, ka finansējuma saņēmējs - rezidents, kas apgūst ģimenes (vispārējās prakses) ārsta specialitāti, vai sertificēts ģimenes ārsts nevar piesaistīt kā sadarbības partneri citu rezidentu, kas apgūst ģimenes (vispārējās prakses) ārsta specialitāti, vai sertificētu ģimenes ārstu. Savukārt no noteikumu projekta 14. punkta šāds ierobežojums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un sadarbības partneri (ja attiecināms), iesaistoties projekta īstenošanā, nodrošina, lai funkcijas, kuras tie pilda projekta īstenošanā, tiktu nodalītas no pamatfunkciju izpildes un saimnieciskās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precizēt noteikumu projekta 17. punktu ar nosacījumu, ka projekta iesniedzējs un sadarbības partneris (ja attiecināms) nodrošinās atsevišķu ieņēmumu un izdevumu grāmatvedības uzskaiti, kā arī darbību un ar to īstenošanu saistīto finanšu plūsmu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projekta iesniedzējs un sadarbības partneri (ja attiecināms) paraksta interešu konflikta neesības apliecinājumu, ievērojot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Attiecīgi lūdzam noteikumu projekta 19. punktā precizēt regulas atsauci, norādot atsauci uz Regulu 2024/2509. Saskaņā ar Regulas 2024/2509 279. pantu atsauces uz atcelto Regulu 2018/1046 uzskata par atsaucēm uz Regulu 2024/2509, </w:t>
            </w:r>
            <w:r w:rsidR="00000000" w:rsidRPr="00000000" w:rsidDel="00000000">
              <w:rPr>
                <w:rtl w:val="0"/>
              </w:rPr>
              <w:t xml:space="preserve">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 atbalstāmā darbība ietver komunikācijas un vizuālās identitātes prasību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28. punktu tā, lai skaidrs, ka atbalsts projekta komunikācijas un vizuālās identitātes prasību nodrošināšanas pasākumu izmaksām nav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dokumentāciju par </w:t>
            </w:r>
            <w:r w:rsidR="00000000" w:rsidRPr="00000000" w:rsidDel="00000000">
              <w:rPr>
                <w:i w:val="1"/>
                <w:rtl w:val="0"/>
              </w:rPr>
              <w:t xml:space="preserve">de minimis</w:t>
            </w:r>
            <w:r w:rsidR="00000000" w:rsidRPr="00000000" w:rsidDel="00000000">
              <w:rPr>
                <w:rtl w:val="0"/>
              </w:rPr>
              <w:t xml:space="preserve"> atbalsta piešķiršanu finansējuma saņēmējs glabā 10 gadus no atbalsta piešķiršanas dienas, bet atbalsta sniedzējs - 10 gadus no pēdējā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37.7. apakšpunktu, aiz vārdiem “finansējuma saņēmējs” papildinot ar vārdiem: “un sadarbības partneris (ja attiecināms)”. Pēc analoģijas lūdzam precizēt arī noteikumu projekta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atbilstoši normatīvajiem aktiem par veselības aprūpes organizēšanu un samaksu ir noslēdzis ar Nacionālo veselības dienestu (turpmāk – pilnvarojuma uzlicējs) deleģēšanas līgumu par vispārējas tautsaimnieciskas nozīmes pakalpojuma (turpmāk – sabiedriskie pakalpojumi) sniegšanu. Līgumā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39. punktā minēto, ka attīstāmās infrastruktūras izmantošanas proporcijas aprēķinu valsts apmaksāto veselības aprūpes pakalpojumu sniegšanai un citu darbību veikšanai veic un piemēro sadarbības partnerim, lūdzam izvērtēt un pēc nepieciešamības precizēt noteikumu 41. un 48. punkta redakciju, iekļaujot atsauci arī uz sadarbības partneri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iesniedzējs, kas plāno īstenot vienu no šo noteikumu </w:t>
            </w:r>
            <w:r w:rsidR="00000000" w:rsidRPr="00000000" w:rsidDel="00000000">
              <w:rPr>
                <w:rtl w:val="0"/>
              </w:rPr>
              <w:t xml:space="preserve">49.1.</w:t>
            </w:r>
            <w:r w:rsidR="00000000" w:rsidRPr="00000000" w:rsidDel="00000000">
              <w:rPr>
                <w:rtl w:val="0"/>
              </w:rPr>
              <w:t xml:space="preserve"> , </w:t>
            </w:r>
            <w:r w:rsidR="00000000" w:rsidRPr="00000000" w:rsidDel="00000000">
              <w:rPr>
                <w:rtl w:val="0"/>
              </w:rPr>
              <w:t xml:space="preserve">49.2.</w:t>
            </w:r>
            <w:r w:rsidR="00000000" w:rsidRPr="00000000" w:rsidDel="00000000">
              <w:rPr>
                <w:rtl w:val="0"/>
              </w:rPr>
              <w:t xml:space="preserve"> ​​​​​​​ un </w:t>
            </w:r>
            <w:r w:rsidR="00000000" w:rsidRPr="00000000" w:rsidDel="00000000">
              <w:rPr>
                <w:rtl w:val="0"/>
              </w:rPr>
              <w:t xml:space="preserve">49.3.</w:t>
            </w:r>
            <w:r w:rsidR="00000000" w:rsidRPr="00000000" w:rsidDel="00000000">
              <w:rPr>
                <w:rtl w:val="0"/>
              </w:rPr>
              <w:t xml:space="preserve"> apakšpunktos minētajiem prakšu attīstības veidiem, var pretendēt uz attiecināmo izmaksu kopsummu, kas nepārsniedz 30 000 </w:t>
            </w:r>
            <w:r w:rsidR="00000000" w:rsidRPr="00000000" w:rsidDel="00000000">
              <w:rPr>
                <w:i w:val="1"/>
                <w:rtl w:val="0"/>
              </w:rPr>
              <w:t xml:space="preserve">euro</w:t>
            </w:r>
            <w:r w:rsidR="00000000" w:rsidRPr="00000000" w:rsidDel="00000000">
              <w:rPr>
                <w:rtl w:val="0"/>
              </w:rPr>
              <w:t xml:space="preserve"> uz vienu projekta ietvaros attīstāmo ģimenes ārsta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anotācijā minētajam, ka katru ģimenes ārsta praksi var attīstīt ne vairāk kā viena projekta ietvaros, lūdzam izvērtēt un pēc nepieciešamības papildināt noteikumu 51. un 52. punktu ar informāciju, ka katru ģimenes ārsta praksi var attīstīt ne vairāk kā viena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nodrošina šo noteikumu </w:t>
            </w:r>
            <w:r w:rsidR="00000000" w:rsidRPr="00000000" w:rsidDel="00000000">
              <w:rPr>
                <w:rtl w:val="0"/>
              </w:rPr>
              <w:t xml:space="preserve">21.4.</w:t>
            </w:r>
            <w:r w:rsidR="00000000" w:rsidRPr="00000000" w:rsidDel="00000000">
              <w:rPr>
                <w:rtl w:val="0"/>
              </w:rPr>
              <w:t xml:space="preserve"> apakšpunktā minētos komunikācijas un vizuālās identitātes prasību nodrošināšanas pasākumus saskaņā ar regulas Nr. 2021/1060 47. un 50. pantu un normatīvajiem aktiem par kārtību, kādā Eiropas Savienības struktūrfondu un Kohēzijas fonda ieviešanā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61.1. apakšpunktu, lai nodrošinātu korektu norādi uz normatīvo aktu jomu. Proti, lūdzam aizstāt noteikumu projekta 61.1. apakšpunktā vārdus un skaitļus "normatīvajiem aktiem par kārtību, kādā Eiropas Savienības struktūrfondu un Kohēzijas fonda ieviešanā 2021.–2027. gada plānošanas periodā nodrošināma komunikācijas un vizuālās identitātes prasību ievērošana" ar vārdiem un skaitļiem "normatīvajiem aktiem par kārtību, kādā Eiropas Savienības fondu vadībā iesaistītās institūcijas nodrošina šo fondu ieviešanu 2021.–2027. gada plānošanas periodā" (t.i. Ministru kabineta 2023. gada 13. jūlija noteikumi Nr. 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anotācijas 1.3. sadaļas apakšsadaļā "Risinājuma apraksts" informācijā par sadarbības līgumu slēgšanu aizstāt atsauci uz Ministru kabineta 2014. gada 16. decembra noteikumiem Nr.784 “Kārtība, kādā Eiropas Savienības struktūrfondu un Kohēzijas fonda vadībā iesaistītās institūcijas nodrošina plānošanas dokumentu sagatavošanu un šo fondu ieviešanu 2014.–2020.gada plānošanas periodā” (ņemot vērā, ka minētie noteikumi attiecas uz Eiropas Savienības struktūrfondu un Kohēzijas fonda 2014.-2020. gada plānošanas periodu) ar atsauci uz Ministru kabineta 2023. gada 13. jūlija noteikumiem Nr. 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ja tiek īstenota šo noteikumu </w:t>
            </w:r>
            <w:r w:rsidR="00000000" w:rsidRPr="00000000" w:rsidDel="00000000">
              <w:rPr>
                <w:rtl w:val="0"/>
              </w:rPr>
              <w:t xml:space="preserve">21.2.</w:t>
            </w:r>
            <w:r w:rsidR="00000000" w:rsidRPr="00000000" w:rsidDel="00000000">
              <w:rPr>
                <w:rtl w:val="0"/>
              </w:rPr>
              <w:t xml:space="preserve"> apakšpunktā minētā atbalstāmā darbība, nodrošina, ka projekta īstenošanas laikā un vismaz piecus gadus pēc projekta noslēguma maksājuma veikšanas, bet ne mazāk kā infrastruktūrā veikto ieguldījumu amortizācijas termiņā nekustamie īpašumi, kuri nepieciešami projekta īstenošanai, ir finansējuma saņēmēja, sadarbības partnera, valsts vai pašvaldības īpašumā, ilgtermiņa nomā, patapinājumā vai valdījumā, ir noslēgta vienošanās par apbūves tiesībām un tiesību prasība ir nostiprināta zemesgrāmatā. Ja investīcijas ir veiktas būvēs, nepalielinot būvapjomu, tad īpašumtiesībām vai citām tiesībām attiecībā uz zemi nav jābūt nostiprinātām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sabiedrisko pakalpojumu infrastruktūrai nenosaka dzīves ilgumu, lūdzam precizēt noteikumu projekta 61.7. apakšpunktā norādīto periodu, svītrojot “bet ne mazāk kā infrastruktūrā veikto ieguldījumu amortizācijas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iestāde, ja tai ir pieejami valsts budžeta līdzekļi, pamatojoties uz finansējuma saņēmēja rakstisku avansa pieprasījumu, pēc plānotā avansa apmēra un tā pamatojuma izvērtēšanas var piešķirt finansējuma saņēmējam avansu pēc tam, kad ir noslēgts līgums vai vienošanās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2023. gada 25. aprīļa noteikumu Nr. 205 "Valsts budžeta līdzekļu plānošanas kārtība Eiropas Savienības fondu projektu īstenošanai un maksājumu veikšanai 2021.–2027. gada plānošanas periodā" 10. punktu maksimālais avansa apjoms nevar pārsniegt 30 % no projektam piešķirtā Eiropas Savienības fonda finansējuma un, ja tas ir paredzēts projektā, </w:t>
            </w:r>
            <w:r w:rsidR="00000000" w:rsidRPr="00000000" w:rsidDel="00000000">
              <w:rPr>
                <w:u w:val="single"/>
                <w:rtl w:val="0"/>
              </w:rPr>
              <w:t xml:space="preserve">valsts budžeta līdzfinansējuma kopsummas</w:t>
            </w:r>
            <w:r w:rsidR="00000000" w:rsidRPr="00000000" w:rsidDel="00000000">
              <w:rPr>
                <w:rtl w:val="0"/>
              </w:rPr>
              <w:t xml:space="preserve">, ja vien normatīvajā aktā par specifiskā atbalsta mērķa īstenošanu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minēto noteikumu 16. punktu sadarbības iestāde, veicot avansa un starpposma maksājumus, ievēro nosacījumu, ka to kopsumma nedrīkst pārsniegt 90 % no projektam piešķirtā Eiropas Savienības fonda finansējuma un, ja tas paredzēts projektā, </w:t>
            </w:r>
            <w:r w:rsidR="00000000" w:rsidRPr="00000000" w:rsidDel="00000000">
              <w:rPr>
                <w:u w:val="single"/>
                <w:rtl w:val="0"/>
              </w:rPr>
              <w:t xml:space="preserve">valsts budžeta līdzfinansējuma kopsummas</w:t>
            </w:r>
            <w:r w:rsidR="00000000" w:rsidRPr="00000000" w:rsidDel="00000000">
              <w:rPr>
                <w:rtl w:val="0"/>
              </w:rPr>
              <w:t xml:space="preserve">, izņemot šo noteikumu 17. un 18.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noteikumu projekta 62. punktu, paredzot, ka avansa apmērs un avansa un starpposma maksājumu kopsummas apmērs tiek aprēķināts no Eiropas Reģionālās attīstības fonda </w:t>
            </w:r>
            <w:r w:rsidR="00000000" w:rsidRPr="00000000" w:rsidDel="00000000">
              <w:rPr>
                <w:u w:val="single"/>
                <w:rtl w:val="0"/>
              </w:rPr>
              <w:t xml:space="preserve">un valsts budžeta līdzfinansējuma kopsummas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1.3.sadaļā  “Pašreizējā situācija, problēmas un risinājumi” lūdzam pārskatīt informāciju: “Lai noteiktu, kurš ir uzskatāms par gala labuma guvēju - finansējuma saņēmējs vai sadarbības partneris, ir jāņem vērā, kam pieder attīstāmās telpas (vai tas pieder ārstniecības iestādei vai pašvaldībai), kā arī kam īpašumā ir iegādājamās medicīniskās iekārtas (ģimenes ārstam vai ārstniecības iestādei,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finansējuma saņēmējam, kura īpašumā ir attīstāmas telpas vai iegādājamās medicīniskās iekārtas un kuram ir deleģēšanas līgums par valsts apmaksāto sekundāro ambulatoro vai stacionāro veselības aprūpes pakalpojumu sniegšanu ar NVD, bet kurš pats nesniedz valsts apmaksātos ģimenes ārsta pakalpojumus, bet nodrošina telpas vai telpas un aprīkojumu valsts apmaksāto ģimenes ārsta pakalpojumu sniegšanai ārstniecības iestādei, kurai uzticēts sniegt pakalpojumus ar vispārēju tautsaimniecisku nozīmi, tam atbalstu piešķir kā kompensāciju par vispārējas tautsaimnieciskas nozīmes pakalpojuma sniegšanu atbilstoši Eiropas Komisijas lēmumam Nr. 2012/21/ES.“ un precizēt redakciju atbilstoši noteikumu 38.un 39.punkta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pārkompensācijas kontroli - kā atbalsta sniedzējs pārbaudīs noteikumu projekta 42. punktā noteikto pienākumu finansējuma saņēmējam iesniegt pilnvarojuma uzlicēja apliecinājumu, kam jābūt norādītam pilnvarojuma aktā un kā praksē jānodrošina pārkompensācijas kontrole,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Pārkompensācijas uzraudzību veic pilnvarojuma uzlicējs un, lai pilnvarojuma uzlicējs varētu kvalitatīvi novērst pārkompensācijas riskus un izpildīt pienākumu par pārkompensācijas uzraudzību, pilnvarojuma aktā ir iekļauts nosacījums, ka pilvarojuma uzlicējs veic regulāras pārbaudes vai nodrošina, ka tās tiek veiktas, vismaz ik pēc trīs gadiem sabiedrisko pakalpojumu līguma darbības laikā un tā beigās, pamatojoties uz normatīvajiem aktiem, kas nosaka atlīdzības maksājumu/kompensāciju aprēķināšanas un piešķiršanas kārtību, kritērijus un nosacījumus, kā arī pārkompensācijas kontroles kārtību. Minētais pārkompensācijas uzraudzības mehānisms tiek izvērtēts projekta iesnieguma vērtēšanas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29.10.2024.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29.10.2024.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