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24-TA-427: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"Priedes"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tiesību akta lietai Sabiedrības vajadzībām nepieciešamā nekustamā īpašuma atsavināšanas likuma 18.panta pirmajā daļā noteikto paziņojumu, kas nosūtīts hipotekārajam kreditoram.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akta lietai pievienotajiem pielikumiem redzams, ka institūcijas paziņojums ir nosūtīts tikai īpašniekam (</w:t>
            </w:r>
            <w:r w:rsidR="00000000" w:rsidRPr="00000000" w:rsidDel="00000000">
              <w:rPr>
                <w:i w:val="1"/>
                <w:rtl w:val="0"/>
              </w:rPr>
              <w:t xml:space="preserve">skatīt TAP paskaidrojošie dokumenti I pielikums 104.lapa</w:t>
            </w:r>
            <w:r w:rsidR="00000000" w:rsidRPr="00000000" w:rsidDel="00000000">
              <w:rPr>
                <w:rtl w:val="0"/>
              </w:rPr>
              <w:t xml:space="preserve">). Līdz ar to ir nepieciešams skaidrot, vai un kā hipotekārais kreditors ir informēts par atsavināšanu. Tāpat nepieciešams skaidrot, vai un kā nekustamā īpašuma īpašnieks ir informēts par kārtību un nepieciešamajām darbībām, atlīdzības saņemšanu, un citu būtisku informāciju, ja atsavināmais nekustamais īpašums ir apgrūtināts ar hipotēku.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24-TA-427</w:t>
    </w:r>
    <w:r>
      <w:br/>
    </w:r>
    <w:r w:rsidR="00000000" w:rsidRPr="00000000" w:rsidDel="00000000">
      <w:rPr>
        <w:rtl w:val="0"/>
      </w:rPr>
      <w:t xml:space="preserve">Izdrukāts 04.03.2024. 19.39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24-TA-427</w:t>
    </w:r>
    <w:r>
      <w:br/>
    </w:r>
    <w:r w:rsidR="00000000" w:rsidRPr="00000000" w:rsidDel="00000000">
      <w:rPr>
        <w:rtl w:val="0"/>
      </w:rPr>
      <w:t xml:space="preserve">Izdrukāts 04.03.2024. 19.39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Atzinumi_24-TA-427.docx</dc:title>
</cp:coreProperties>
</file>

<file path=docProps/custom.xml><?xml version="1.0" encoding="utf-8"?>
<Properties xmlns="http://schemas.openxmlformats.org/officeDocument/2006/custom-properties" xmlns:vt="http://schemas.openxmlformats.org/officeDocument/2006/docPropsVTypes"/>
</file>