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Aizpildīt projekta sākotnējās ietekmes novērtējuma ziņojuma (anotācijas) 5. sadaļas aili par norādi uz paziņojuma sniegšanu, ievērojot, ka Direktīvas 2021/1883 31. panta pirmā daļa paredz pienākumu dalībvalstīm nekavējoties ziņot Eiropas Komisijai tiklīdz dalībvalstīs stājas spēkā normatīvie akti, ar kuriem tiek transponēta attiecīgā direktīva.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Līva Rudzīte-Celmiņa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13.05.2024.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13.05.2024.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