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Centrs var lemt par atbalsta centra statusa atcelšanu, ja atbalsta centrs nav novērsis konstatētos pārkāpumus vai neatbilstības centra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kādos gadījumos Bērnu aizsardzības centrs (turpmāk – centrs) var lemt par ārpusģimenes aprūpes atbalsta centra (turpmāk – atbalsta centrs) statusa atcelšanu. Proti, kādi pārkāpumi vai neatbilstības uzskatāmi par pamatotiem iemesliem atbalsta centra statusa atcelšanai.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r w:rsidR="00000000" w:rsidRPr="00000000" w:rsidDel="00000000">
              <w:rPr>
                <w:vertAlign w:val="superscript"/>
                <w:rtl w:val="0"/>
              </w:rPr>
              <w:t xml:space="preserve">1</w:t>
            </w:r>
            <w:r w:rsidR="00000000" w:rsidRPr="00000000" w:rsidDel="00000000">
              <w:rPr>
                <w:rtl w:val="0"/>
              </w:rPr>
              <w:t xml:space="preserve"> mēneša laikā pēc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minētā iepirkuma procedūras rezultātā izraudzītā pretendenta noteikšanas noslēdz līgumu par veselības apdrošināšanu specializētajām audžuģimenēm ar veselības apdrošināšanas pakalpojuma sniedzēju. Atbalsta centrs veic ar veselības apdrošināšanu saistītos norēķinus atbilstoši noslēgtajam līgumam, rakstveidā informē veselības apdrošināšanas pakalpojuma sniedzēju par nepieciešamību specializēto audžuģimeni iekļaut vai izslēgt veselības apdrošināšanas polisē un izsniedz specializētajai audžuģimenei veselības apdrošināšanas karti normatīvajos aktos par audžuģimenēm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skaidrojumu par centra rīcību gadījumā, ja noteikumu projekta 2. punktā piedāvātajā Ministru kabineta 2018. gada 26. jūnija noteikumu Nr. 355 "Ārpusģimenes aprūpes atbalsta centra noteikumi" (turpmāk - Noteikumi Nr. 355) 4.</w:t>
            </w:r>
            <w:r w:rsidR="00000000" w:rsidRPr="00000000" w:rsidDel="00000000">
              <w:rPr>
                <w:vertAlign w:val="superscript"/>
                <w:rtl w:val="0"/>
              </w:rPr>
              <w:t xml:space="preserve">1</w:t>
            </w:r>
            <w:r w:rsidR="00000000" w:rsidRPr="00000000" w:rsidDel="00000000">
              <w:rPr>
                <w:rtl w:val="0"/>
              </w:rPr>
              <w:t xml:space="preserve"> punktā minētais publiskais iepirkums (turpmāk – iepirkums) beidzas bez rezultāta vai, ja iepirkuma rezultāti tiek apstrīdēti.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piedāvātais Noteikumu Nr. 355 12.11.</w:t>
            </w:r>
            <w:r w:rsidR="00000000" w:rsidRPr="00000000" w:rsidDel="00000000">
              <w:rPr>
                <w:vertAlign w:val="superscript"/>
                <w:rtl w:val="0"/>
              </w:rPr>
              <w:t xml:space="preserve">1</w:t>
            </w:r>
            <w:r w:rsidR="00000000" w:rsidRPr="00000000" w:rsidDel="00000000">
              <w:rPr>
                <w:rtl w:val="0"/>
              </w:rPr>
              <w:t xml:space="preserve"> apakšpunkts noteic, ka mēneša laikā pēc iepirkuma rezultātā izraudzītā pretendenta noteikšanas centrs noslēdz līgumu par veselības apdrošināšanu specializētajām audžuģimenēm ar veselības apdrošināšanas pakalpojuma sniedzēju. Vēršam uzmanību, ka iepirkums var beigties bez rezultāta, kā arī iepirkuma rezultāti var tikt apstrīdēti.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nosaka kritērijus ārpusģimenes aprūpes atbalsta centra (turpmāk – atbalsta centrs) izveidei, atbalsta centra statusa piešķiršanas un atcelšanas nosacījumus un kārtību, kā arī prasības atbalsta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punktā piedāvāto Noteikumu Nr. 355 1.1. apakšpunktu atbilstoši Bērnu tiesību aizsardzības likuma 36.</w:t>
            </w:r>
            <w:r w:rsidR="00000000" w:rsidRPr="00000000" w:rsidDel="00000000">
              <w:rPr>
                <w:vertAlign w:val="superscript"/>
                <w:rtl w:val="0"/>
              </w:rPr>
              <w:t xml:space="preserve">1</w:t>
            </w:r>
            <w:r w:rsidR="00000000" w:rsidRPr="00000000" w:rsidDel="00000000">
              <w:rPr>
                <w:rtl w:val="0"/>
              </w:rPr>
              <w:t xml:space="preserve"> panta trešajā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36.</w:t>
            </w:r>
            <w:r w:rsidR="00000000" w:rsidRPr="00000000" w:rsidDel="00000000">
              <w:rPr>
                <w:vertAlign w:val="superscript"/>
                <w:rtl w:val="0"/>
              </w:rPr>
              <w:t xml:space="preserve">1</w:t>
            </w:r>
            <w:r w:rsidR="00000000" w:rsidRPr="00000000" w:rsidDel="00000000">
              <w:rPr>
                <w:rtl w:val="0"/>
              </w:rPr>
              <w:t xml:space="preserve"> panta trešā daļa paredz pilnvarojumu Ministru kabinetam noteikt kritērijus atbalsta </w:t>
            </w:r>
            <w:r w:rsidR="00000000" w:rsidRPr="00000000" w:rsidDel="00000000">
              <w:rPr>
                <w:u w:val="single"/>
                <w:rtl w:val="0"/>
              </w:rPr>
              <w:t xml:space="preserve">centru</w:t>
            </w:r>
            <w:r w:rsidR="00000000" w:rsidRPr="00000000" w:rsidDel="00000000">
              <w:rPr>
                <w:rtl w:val="0"/>
              </w:rPr>
              <w:t xml:space="preserve"> izveidei, atbalsta </w:t>
            </w:r>
            <w:r w:rsidR="00000000" w:rsidRPr="00000000" w:rsidDel="00000000">
              <w:rPr>
                <w:u w:val="single"/>
                <w:rtl w:val="0"/>
              </w:rPr>
              <w:t xml:space="preserve">centru</w:t>
            </w:r>
            <w:r w:rsidR="00000000" w:rsidRPr="00000000" w:rsidDel="00000000">
              <w:rPr>
                <w:rtl w:val="0"/>
              </w:rPr>
              <w:t xml:space="preserve"> statusa piešķiršanas un atcelšanas nosacījumus un kārtību, kā arī prasības atbalsta </w:t>
            </w:r>
            <w:r w:rsidR="00000000" w:rsidRPr="00000000" w:rsidDel="00000000">
              <w:rPr>
                <w:u w:val="single"/>
                <w:rtl w:val="0"/>
              </w:rPr>
              <w:t xml:space="preserve">centriem</w:t>
            </w:r>
            <w:r w:rsidR="00000000" w:rsidRPr="00000000" w:rsidDel="00000000">
              <w:rPr>
                <w:rtl w:val="0"/>
              </w:rPr>
              <w:t xml:space="preserve">. Informējam, ka atbilstoši Ministru kabineta 2009. gada 3. februāra noteikumu Nr. 108 "Normatīvo aktu projektu sagatavošanas noteikumi" 100. pantam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21.07.2026.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21.07.2026.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Atzinumi_25-TA-1872.docx</dc:title>
</cp:coreProperties>
</file>

<file path=docProps/custom.xml><?xml version="1.0" encoding="utf-8"?>
<Properties xmlns="http://schemas.openxmlformats.org/officeDocument/2006/custom-properties" xmlns:vt="http://schemas.openxmlformats.org/officeDocument/2006/docPropsVTypes"/>
</file>