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koku ciršanas maksimāli pieļaujamo apjomu 2026.–2030.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(VMD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koku ciršanas maksimāli pieļaujamo apjomu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maksimāli pieļaujamā ciršanas apjoma aprēķina izslēdzami ES nozīmes meža biotopi. Lai gan anotācijā norādīts, ka "kamēr biotopam ar normatīvajiem aktiem nav noteikts aizsardzības statuss, biotopa aizsardzība ir meža īpašnieka brīva griba", jāņem vērā, ka rīkojums attiecas uz valsts mežiem, t.i., mežiem, kuru īpašnieks ir valsts. Valsts (īpašnieka) griba meža apsaimniekošanā atspoguļota gan Meža likumā (meža ilgtspējīga apsaimniekošana - 2. pants), gan Sugu un biotopu aizsardzības likumā (2., 7., 9. pants), t.i., valsts griba un pienākums ir nodrošināt biotopu labvēlīgu aizsardzības stāvokli. Pašlaik ES nozīmes meža biotopi Latvijā ir nelabvēlīgā stāvoklī, tāpēc nav pieņemami turpināt valsts mežos šos biotopus iznīcināt, argumentējot ar "meža īpašnieka brīvu gribu". Anotācijā nepamatoti apgalvots, ka "risks, ka cirsmas varētu tikt plānotas mežaudzēs, kas novērtētas kā biotopi, nav liels". Dabas aizsardzības pārvaldes sniegtā informācija liecina, ka jau šobrīd valsts mežos katru gadu tiek iznīcināti ES nozīmes biotopi. Tātad runa vairs nav par risku, bet faktisku biotopu iznīcināšanu.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nosakot pieļaujamo ciršanas apjomu, būtu jāņem vērā plānotā aizsargājamo teritoriju paplašināšana un prasības biotopu atjaunošanai. Pat tad, ja šīm teritorijām vēl nav ar likumu noteiktas aizsardzības, valstij šie procesi jāņem vērā, lai nodrošinātu to, ka rīkojums neapdraud meža ilgtspējīgas apsaimniekošanas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CO2 piesaisti informācija pasniegta tendenciozi. No klimata pārmaiņu mazināšanas viedokļa būtisks ir nevis nedefinētais "CO2 piesaistes potenciāls", bet gan CO2 piesaiste. No Latvijas SEG inventarizācijām redzams, ka augošais mežizstrādes apjoms ir galvenais iemesls tam, ka CO2 piesaiste Latvijas mežos ir samazinājusies. Tā kā norādīts, ka pieļaujamā ciršanas apjoma aprēķinā izmantotas līdzšinējās metodes, saprotams, ka nepieciešamība uzlabot oglekļa piesaisti mežos joprojām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Apgalvojums, ka "aprēķinātais maksimāli pieļaujamais koku ciršanas apjoms nodrošina arī nodarbinātības saglabāšanos līdzšinējā līmenī" nav balstīts uz faktiem. Šis rīkojums balstās uz tādu pašu aprēķinu metodiku kā iepriekšējos periodos. Savukārt dati rāda, ka nodarbinātība meža nozarē samazinās. Tātad ir acīmredzams, ka aprēķinātais maksimāli pieļaujamais koku ciršanas apjoms nenodrošina nodarbinātības saglabāšanos.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Tendenciozi pasniegta arī informācija par maksimāli pieļaujamā koku ciršanas apjoma samazinājumu, salīdzinot ar iepriekšējo periodu. Papildus anotācijā minētajiem faktoriem, kas to varētu būt noteikuši, jāņem vērā arī koku apjoms, kas nocirsts citās, nevis galvenajā cirtē. Nepieciešama arī korekta analīze par to, kas tieši noteicis maksimāli pieļaujamā ciršanas apjoma samazinājumu, jo iespējams, ka šis samazinājums parāda pašreizējās pieejas nespēju nodrošināt pat stabilas koksnes plūsmas, nerunājot par ilgtspējīgu meža apsaimniekošanu kopumā. Par iespējamām problēmām aprēķinu metodikā liecina arī anotācijā iekļautā tabula par situāciju AS "Latvijas valsts meži" apsaimniekotajos mežos. No tās redzams, ka aprēķinātais galvenās cirtes maksimāli pieļaujamais apjoms 2026.-2030. gadā ievērojami pārsniedz mežaudžu platību, kuras šajā periodā sasniegs galvenās cirtes vecumu. Tātad galvenās cirtes vecumu sasniegušu mežaudžu platība samazināsies, kas novedīs pie mazāka pieļaujamā ciršanas apjoma AS "Latvijas valsts meži" nākamajā periodā, pat neņemot vērā citus apsvērumus (bioloģiskās daudzveidības saglabāšanu, klimata pārmaiņu mazināšanu un pielāgošanos), kuru dēļ ciršanas apjoms būtu jāsamazina.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sagrozīta informācija. Gan Latvijas SEG inventarizācijas, gan virkne starptautisku zinātnisku pētījumu rāda, ka tieši ciršanas apjomu pieaugums negatīvi ietekmē oglekļa bilanci mežā, tāpēc ir pilnīgi nepamatoti apgalvot, ka ciršanas apjomu samazinājums samazinās oglekļa piesaisti vai palielinās emisijas. Turklāt, trūkstot analīzei par maksimāli pieļaujamā koku ciršanas apjoma samazinājuma iemesliem, nevar izslēgt, ka arī šis samazinājums ir sekas pārmērīgi intensīvai mežizstrādei (ne tikai galvenajā cirtē) iepriekšējos periodos.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22.08.2024.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22.08.2024.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Atzinumi_24-TA-1490.docx</dc:title>
</cp:coreProperties>
</file>

<file path=docProps/custom.xml><?xml version="1.0" encoding="utf-8"?>
<Properties xmlns="http://schemas.openxmlformats.org/officeDocument/2006/custom-properties" xmlns:vt="http://schemas.openxmlformats.org/officeDocument/2006/docPropsVTypes"/>
</file>