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3.punktā, vai mērķgrupā ietilpst arī studējošie koledžās, kuras īsteno īsā cikla (1.līmeņa) profesionālo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grupu šādā redakcijā "profesionālo vidējo izglītības programmu, kuras uzsākamas pēc pamatizglītības ieguves, izglītojamie". Vienlaikus lūdzam iekļaut mērķa grupā profesionālās ievirzes izglītības programmu izglītojamos (kas ietver gan mūzikas un mākslas, gan sporta skolas), lai nodrošinātu, ka izglītojamie, kas saņem atbalstu vispārējās izglītības programmā, atbalstu turpinātu saņemt arī profesionālās ievirzes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Krūmiņa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īstenošanas un rādītāju sasniegšanas progresa uzraudzībai un priekšlikumu sniegšanai Izglītības un zinātnes ministrija izveido uzraudzības padomi, kurā uzaicina piedalīties Labklājības ministrijas, Izglītības kvalitātes valsts dienesta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Projekta uzraudzības padomes sastāvā novērotāju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Uzraudzības padomes sastāvā tiek iekļauts Latvijas Nacionālā kultūras centra pārstāvis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Krūmiņa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07.27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07.27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