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novēršanas plāns 2025.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25.6. punktam plānā jānorāda pasākumu izpildei pieejamo, kā arī papildus nepieciešamo finansējumu, pievienojot detalizētus aprēķinus par ietekmi uz valsts budžetu un pašvaldību budžetiem atbilstoši normatīvajam aktam par tiesību akta sākotnējās ietekmes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Tālab, papildus sniegtajām ziņām par pasākumu 5. un 6.1. ietekmi uz budžetu, aicinām precizēt arī to, vai visu pārējo pasākumu izpildei ir pieejams pietiekams budžeta finansējums un nav nepieciešams papildu finansējums 2025., 2026. un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3.2. darbības rezultāta rezultatīvajā rādītājā norādīto jēdzienu "moldāvu" aizstāt ar "rumāņu", ievērojot Moldovas Republikas valsts valodas oficiālo nosaukumu. Aicinām šo ņemt vērā arī, ja darbības rezultātā norādītajā materiālā tiek minēts šīs valodas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Sagatavoti un iztulkoti materiāli uzbeku, tadžiku, kirgīzu, kazaku, rumāņu, hindi, urdu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25.5. punktam plāna projektā termiņus pasākumu īstenošanai nosaka ar precizitāti līdz pusgadam. Tālab aicinām 9. un 10. uzdevumos noteikt visus nepieciešamos termiņus ne plašākus kā līdz pirmajam vai otrajam pusgadam. Iesakām 9. uzdevumam noteikt vairākus termiņus līdz katra plāna darbības gada 31. decembrim, savukārt 10. uzdevumam līdz katram plāna darbības gada 30. jūlijam.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11. lappusē iekļauto saīsinājumu sarakstu pārcelt uz plāna sākumu, iekļaujot arī pārējā plānā izmantotos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 lappusē uzskaitītos izvērtējumus norādīt ar saitēm zemsvītras piezīmēs, lai uzlabotu informācijas pieejamību, kā arī precizēt 13. zemsvītras piezīmi.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07.07.2025.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07.07.2025.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Atzinumi_25-TA-825.docx</dc:title>
</cp:coreProperties>
</file>

<file path=docProps/custom.xml><?xml version="1.0" encoding="utf-8"?>
<Properties xmlns="http://schemas.openxmlformats.org/officeDocument/2006/custom-properties" xmlns:vt="http://schemas.openxmlformats.org/officeDocument/2006/docPropsVTypes"/>
</file>