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CE43C" w14:textId="77777777" w:rsidR="00F029CD" w:rsidRPr="00BB55C0" w:rsidRDefault="009448C3" w:rsidP="009448C3">
      <w:pPr>
        <w:rPr>
          <w:rFonts w:ascii="Times New Roman" w:hAnsi="Times New Roman"/>
          <w:sz w:val="28"/>
          <w:szCs w:val="28"/>
        </w:rPr>
      </w:pPr>
      <w:r w:rsidRPr="00BB55C0">
        <w:rPr>
          <w:rFonts w:ascii="Times New Roman" w:hAnsi="Times New Roman"/>
          <w:sz w:val="28"/>
          <w:szCs w:val="28"/>
        </w:rPr>
        <w:t xml:space="preserve">                                                      </w:t>
      </w:r>
      <w:r w:rsidR="00F029CD" w:rsidRPr="00BB55C0">
        <w:rPr>
          <w:rFonts w:ascii="Times New Roman" w:hAnsi="Times New Roman"/>
          <w:sz w:val="28"/>
          <w:szCs w:val="28"/>
        </w:rPr>
        <w:t>R</w:t>
      </w:r>
      <w:r w:rsidR="00CB2EF2" w:rsidRPr="00BB55C0">
        <w:rPr>
          <w:rFonts w:ascii="Times New Roman" w:hAnsi="Times New Roman"/>
          <w:sz w:val="28"/>
          <w:szCs w:val="28"/>
        </w:rPr>
        <w:t>ī</w:t>
      </w:r>
      <w:r w:rsidR="00F029CD" w:rsidRPr="00BB55C0">
        <w:rPr>
          <w:rFonts w:ascii="Times New Roman" w:hAnsi="Times New Roman"/>
          <w:sz w:val="28"/>
          <w:szCs w:val="28"/>
        </w:rPr>
        <w:t>ga</w:t>
      </w:r>
    </w:p>
    <w:p w14:paraId="046C8640" w14:textId="5B2929BF" w:rsidR="00A96D2C" w:rsidRPr="00BB55C0" w:rsidRDefault="00BD361F" w:rsidP="00A96D2C">
      <w:pPr>
        <w:jc w:val="both"/>
        <w:rPr>
          <w:rFonts w:ascii="Times New Roman" w:hAnsi="Times New Roman"/>
          <w:sz w:val="28"/>
          <w:szCs w:val="28"/>
        </w:rPr>
      </w:pPr>
      <w:r>
        <w:rPr>
          <w:rFonts w:ascii="Times New Roman" w:hAnsi="Times New Roman"/>
          <w:sz w:val="28"/>
          <w:szCs w:val="28"/>
        </w:rPr>
        <w:t>03.06.2021</w:t>
      </w:r>
      <w:r w:rsidR="00514E38" w:rsidRPr="00BB55C0">
        <w:rPr>
          <w:rFonts w:ascii="Times New Roman" w:hAnsi="Times New Roman"/>
          <w:sz w:val="28"/>
          <w:szCs w:val="28"/>
        </w:rPr>
        <w:t>. Nr.</w:t>
      </w:r>
      <w:r>
        <w:rPr>
          <w:rFonts w:ascii="Times New Roman" w:hAnsi="Times New Roman"/>
          <w:sz w:val="28"/>
          <w:szCs w:val="28"/>
        </w:rPr>
        <w:t xml:space="preserve"> 202103/SAN3421/SP665/NOS413</w:t>
      </w:r>
    </w:p>
    <w:p w14:paraId="5266FE6B" w14:textId="68FDAC77" w:rsidR="00514E38" w:rsidRPr="00BB55C0" w:rsidRDefault="00514E38" w:rsidP="00A96D2C">
      <w:pPr>
        <w:jc w:val="both"/>
        <w:rPr>
          <w:rFonts w:ascii="Times New Roman" w:hAnsi="Times New Roman"/>
          <w:sz w:val="28"/>
          <w:szCs w:val="28"/>
        </w:rPr>
      </w:pPr>
      <w:r w:rsidRPr="00BB55C0">
        <w:rPr>
          <w:rFonts w:ascii="Times New Roman" w:hAnsi="Times New Roman"/>
          <w:sz w:val="28"/>
          <w:szCs w:val="28"/>
        </w:rPr>
        <w:t xml:space="preserve">Uz </w:t>
      </w:r>
      <w:r w:rsidR="009752A9" w:rsidRPr="009752A9">
        <w:rPr>
          <w:rFonts w:ascii="Times New Roman" w:hAnsi="Times New Roman"/>
          <w:sz w:val="28"/>
          <w:szCs w:val="28"/>
        </w:rPr>
        <w:t>27.05.2021. Nr.1-132/5104</w:t>
      </w:r>
    </w:p>
    <w:p w14:paraId="543B3F6A" w14:textId="77777777" w:rsidR="008771CD" w:rsidRPr="00BB55C0" w:rsidRDefault="008771CD" w:rsidP="00A96D2C">
      <w:pPr>
        <w:jc w:val="both"/>
        <w:rPr>
          <w:rFonts w:ascii="Times New Roman" w:hAnsi="Times New Roman"/>
          <w:sz w:val="28"/>
          <w:szCs w:val="28"/>
        </w:rPr>
      </w:pPr>
    </w:p>
    <w:tbl>
      <w:tblPr>
        <w:tblW w:w="0" w:type="auto"/>
        <w:tblLook w:val="01E0" w:firstRow="1" w:lastRow="1" w:firstColumn="1" w:lastColumn="1" w:noHBand="0" w:noVBand="0"/>
      </w:tblPr>
      <w:tblGrid>
        <w:gridCol w:w="4248"/>
        <w:gridCol w:w="2843"/>
        <w:gridCol w:w="1694"/>
      </w:tblGrid>
      <w:tr w:rsidR="008771CD" w:rsidRPr="00BB55C0" w14:paraId="30782498" w14:textId="77777777" w:rsidTr="009752A9">
        <w:trPr>
          <w:gridBefore w:val="1"/>
          <w:wBefore w:w="4248" w:type="dxa"/>
          <w:trHeight w:val="1283"/>
        </w:trPr>
        <w:tc>
          <w:tcPr>
            <w:tcW w:w="4537" w:type="dxa"/>
            <w:gridSpan w:val="2"/>
          </w:tcPr>
          <w:p w14:paraId="7FFC989A" w14:textId="19F5826D" w:rsidR="008771CD" w:rsidRPr="00BB55C0" w:rsidRDefault="008771CD" w:rsidP="006700FC">
            <w:pPr>
              <w:jc w:val="right"/>
              <w:rPr>
                <w:rFonts w:ascii="Times New Roman" w:hAnsi="Times New Roman"/>
                <w:sz w:val="28"/>
                <w:szCs w:val="28"/>
              </w:rPr>
            </w:pPr>
          </w:p>
          <w:p w14:paraId="65B495CE" w14:textId="4DAC7806" w:rsidR="00BD361F" w:rsidRPr="007B737D" w:rsidRDefault="00BD361F" w:rsidP="00BD361F">
            <w:pPr>
              <w:jc w:val="right"/>
              <w:rPr>
                <w:rFonts w:ascii="Times New Roman" w:hAnsi="Times New Roman"/>
                <w:sz w:val="28"/>
                <w:szCs w:val="28"/>
              </w:rPr>
            </w:pPr>
            <w:r>
              <w:rPr>
                <w:rStyle w:val="body1"/>
                <w:rFonts w:ascii="Times New Roman" w:hAnsi="Times New Roman"/>
                <w:sz w:val="28"/>
                <w:szCs w:val="28"/>
              </w:rPr>
              <w:t>Vides aizsardzības un reģionālās attīstības ministrijai</w:t>
            </w:r>
          </w:p>
          <w:p w14:paraId="187736A5" w14:textId="7A9949E3" w:rsidR="00A141D8" w:rsidRPr="00BB55C0" w:rsidRDefault="00A141D8" w:rsidP="006700FC">
            <w:pPr>
              <w:jc w:val="right"/>
              <w:rPr>
                <w:rFonts w:ascii="Times New Roman" w:hAnsi="Times New Roman"/>
                <w:sz w:val="28"/>
                <w:szCs w:val="28"/>
              </w:rPr>
            </w:pPr>
          </w:p>
        </w:tc>
      </w:tr>
      <w:tr w:rsidR="007D6ECA" w:rsidRPr="00BB55C0" w14:paraId="5CE85A09" w14:textId="77777777" w:rsidTr="009752A9">
        <w:trPr>
          <w:gridAfter w:val="1"/>
          <w:wAfter w:w="1694" w:type="dxa"/>
          <w:trHeight w:val="329"/>
        </w:trPr>
        <w:tc>
          <w:tcPr>
            <w:tcW w:w="7091" w:type="dxa"/>
            <w:gridSpan w:val="2"/>
          </w:tcPr>
          <w:p w14:paraId="52CB50D2" w14:textId="0F4F006E" w:rsidR="007D6ECA" w:rsidRPr="00576E6E" w:rsidRDefault="00576E6E" w:rsidP="006700FC">
            <w:pPr>
              <w:jc w:val="both"/>
              <w:rPr>
                <w:rFonts w:ascii="Times New Roman" w:hAnsi="Times New Roman"/>
                <w:i/>
                <w:sz w:val="28"/>
                <w:szCs w:val="28"/>
              </w:rPr>
            </w:pPr>
            <w:bookmarkStart w:id="0" w:name="Subject10"/>
            <w:bookmarkEnd w:id="0"/>
            <w:r w:rsidRPr="00576E6E">
              <w:rPr>
                <w:rFonts w:ascii="Times New Roman" w:hAnsi="Times New Roman"/>
                <w:i/>
                <w:color w:val="000000"/>
                <w:sz w:val="28"/>
                <w:szCs w:val="28"/>
              </w:rPr>
              <w:t>Par precizēto Ministru kabineta noteikumu projektu “Grozījumi Ministru kabineta 2017. gada 28. februāra noteikumos Nr.108 “Publisko elektronisko iepirkumu noteikumi””</w:t>
            </w:r>
            <w:r w:rsidR="009752A9">
              <w:rPr>
                <w:rFonts w:ascii="Times New Roman" w:hAnsi="Times New Roman"/>
                <w:i/>
                <w:color w:val="000000"/>
                <w:sz w:val="28"/>
                <w:szCs w:val="28"/>
              </w:rPr>
              <w:t xml:space="preserve"> (</w:t>
            </w:r>
            <w:r w:rsidR="009752A9" w:rsidRPr="00576E6E">
              <w:rPr>
                <w:rFonts w:ascii="Times New Roman" w:hAnsi="Times New Roman"/>
                <w:i/>
                <w:color w:val="000000"/>
                <w:sz w:val="28"/>
                <w:szCs w:val="28"/>
              </w:rPr>
              <w:t>VSS-23</w:t>
            </w:r>
            <w:r w:rsidR="009752A9">
              <w:rPr>
                <w:rFonts w:ascii="Times New Roman" w:hAnsi="Times New Roman"/>
                <w:i/>
                <w:color w:val="000000"/>
                <w:sz w:val="28"/>
                <w:szCs w:val="28"/>
              </w:rPr>
              <w:t>0)</w:t>
            </w:r>
          </w:p>
        </w:tc>
      </w:tr>
    </w:tbl>
    <w:p w14:paraId="58D2EBA0" w14:textId="77777777" w:rsidR="00A96D2C" w:rsidRPr="00BB55C0" w:rsidRDefault="00A96D2C" w:rsidP="00A96D2C">
      <w:pPr>
        <w:jc w:val="both"/>
        <w:rPr>
          <w:rFonts w:ascii="Times New Roman" w:hAnsi="Times New Roman"/>
          <w:sz w:val="28"/>
          <w:szCs w:val="28"/>
        </w:rPr>
      </w:pPr>
    </w:p>
    <w:p w14:paraId="2EA64998" w14:textId="07628FA0" w:rsidR="001A3F4B" w:rsidRPr="00BB55C0" w:rsidRDefault="001A3F4B" w:rsidP="001A3F4B">
      <w:pPr>
        <w:ind w:firstLine="720"/>
        <w:jc w:val="both"/>
        <w:rPr>
          <w:rFonts w:ascii="Times New Roman" w:hAnsi="Times New Roman"/>
          <w:sz w:val="28"/>
          <w:szCs w:val="28"/>
        </w:rPr>
      </w:pPr>
      <w:r w:rsidRPr="00BB55C0">
        <w:rPr>
          <w:rFonts w:ascii="Times New Roman" w:hAnsi="Times New Roman"/>
          <w:sz w:val="28"/>
          <w:szCs w:val="28"/>
        </w:rPr>
        <w:t xml:space="preserve">Latvijas Pašvaldību savienība (LPS) ir izvērtējusi </w:t>
      </w:r>
      <w:r w:rsidR="00D50871" w:rsidRPr="00576E6E">
        <w:rPr>
          <w:rFonts w:ascii="Times New Roman" w:hAnsi="Times New Roman"/>
          <w:i/>
          <w:color w:val="000000"/>
          <w:sz w:val="28"/>
          <w:szCs w:val="28"/>
        </w:rPr>
        <w:t>precizēto Ministru kabineta noteikumu projektu “Grozījumi Ministru kabineta 2017. gada 28. februāra noteikumos Nr.108 “Publisko elektronisko iepirkumu noteikumi”</w:t>
      </w:r>
      <w:r w:rsidR="00D50871">
        <w:rPr>
          <w:rFonts w:ascii="Times New Roman" w:hAnsi="Times New Roman"/>
          <w:i/>
          <w:color w:val="000000"/>
          <w:sz w:val="28"/>
          <w:szCs w:val="28"/>
        </w:rPr>
        <w:t xml:space="preserve"> </w:t>
      </w:r>
      <w:r w:rsidRPr="00BB55C0">
        <w:rPr>
          <w:rFonts w:ascii="Times New Roman" w:hAnsi="Times New Roman"/>
          <w:sz w:val="28"/>
          <w:szCs w:val="28"/>
        </w:rPr>
        <w:t xml:space="preserve">un </w:t>
      </w:r>
      <w:r w:rsidR="00D50871">
        <w:rPr>
          <w:rFonts w:ascii="Times New Roman" w:hAnsi="Times New Roman"/>
          <w:sz w:val="28"/>
          <w:szCs w:val="28"/>
        </w:rPr>
        <w:t xml:space="preserve">atbalsta tā tālāku virzību </w:t>
      </w:r>
      <w:r w:rsidR="001344E2" w:rsidRPr="00BB55C0">
        <w:rPr>
          <w:rFonts w:ascii="Times New Roman" w:hAnsi="Times New Roman"/>
          <w:sz w:val="28"/>
          <w:szCs w:val="28"/>
        </w:rPr>
        <w:t xml:space="preserve"> </w:t>
      </w:r>
      <w:r w:rsidR="00D50871">
        <w:rPr>
          <w:rFonts w:ascii="Times New Roman" w:hAnsi="Times New Roman"/>
          <w:sz w:val="28"/>
          <w:szCs w:val="28"/>
        </w:rPr>
        <w:t xml:space="preserve">ar </w:t>
      </w:r>
      <w:r w:rsidRPr="00BB55C0">
        <w:rPr>
          <w:rFonts w:ascii="Times New Roman" w:hAnsi="Times New Roman"/>
          <w:sz w:val="28"/>
          <w:szCs w:val="28"/>
        </w:rPr>
        <w:t>šādi</w:t>
      </w:r>
      <w:r w:rsidR="00D50871">
        <w:rPr>
          <w:rFonts w:ascii="Times New Roman" w:hAnsi="Times New Roman"/>
          <w:sz w:val="28"/>
          <w:szCs w:val="28"/>
        </w:rPr>
        <w:t>em</w:t>
      </w:r>
      <w:r w:rsidRPr="00BB55C0">
        <w:rPr>
          <w:rFonts w:ascii="Times New Roman" w:hAnsi="Times New Roman"/>
          <w:sz w:val="28"/>
          <w:szCs w:val="28"/>
        </w:rPr>
        <w:t xml:space="preserve"> iebildumi</w:t>
      </w:r>
      <w:r w:rsidR="00D50871">
        <w:rPr>
          <w:rFonts w:ascii="Times New Roman" w:hAnsi="Times New Roman"/>
          <w:sz w:val="28"/>
          <w:szCs w:val="28"/>
        </w:rPr>
        <w:t>em</w:t>
      </w:r>
      <w:r w:rsidRPr="00BB55C0">
        <w:rPr>
          <w:rFonts w:ascii="Times New Roman" w:hAnsi="Times New Roman"/>
          <w:sz w:val="28"/>
          <w:szCs w:val="28"/>
        </w:rPr>
        <w:t>:</w:t>
      </w:r>
    </w:p>
    <w:p w14:paraId="4F1C8B53" w14:textId="1BB8742B" w:rsidR="00D50871" w:rsidRPr="00E1444D" w:rsidRDefault="00D50871" w:rsidP="00E1444D">
      <w:pPr>
        <w:ind w:firstLine="720"/>
        <w:jc w:val="both"/>
        <w:rPr>
          <w:rFonts w:ascii="Times New Roman" w:hAnsi="Times New Roman"/>
          <w:sz w:val="28"/>
          <w:szCs w:val="28"/>
        </w:rPr>
      </w:pPr>
      <w:r w:rsidRPr="00E1444D">
        <w:rPr>
          <w:rFonts w:ascii="Times New Roman" w:hAnsi="Times New Roman"/>
          <w:sz w:val="28"/>
          <w:szCs w:val="28"/>
        </w:rPr>
        <w:t>LPS atbalsta grozījumus Noteikumu 33.un 44.</w:t>
      </w:r>
      <w:r w:rsidRPr="00E1444D">
        <w:rPr>
          <w:rFonts w:ascii="Times New Roman" w:hAnsi="Times New Roman"/>
          <w:sz w:val="28"/>
          <w:szCs w:val="28"/>
          <w:vertAlign w:val="superscript"/>
        </w:rPr>
        <w:t>2</w:t>
      </w:r>
      <w:r w:rsidR="009752A9">
        <w:rPr>
          <w:rFonts w:ascii="Times New Roman" w:hAnsi="Times New Roman"/>
          <w:sz w:val="28"/>
          <w:szCs w:val="28"/>
          <w:vertAlign w:val="superscript"/>
        </w:rPr>
        <w:t xml:space="preserve"> </w:t>
      </w:r>
      <w:r w:rsidRPr="00E1444D">
        <w:rPr>
          <w:rFonts w:ascii="Times New Roman" w:hAnsi="Times New Roman"/>
          <w:sz w:val="28"/>
          <w:szCs w:val="28"/>
        </w:rPr>
        <w:t>punktā.</w:t>
      </w:r>
      <w:r w:rsidR="009752A9">
        <w:rPr>
          <w:rFonts w:ascii="Times New Roman" w:hAnsi="Times New Roman"/>
          <w:sz w:val="28"/>
          <w:szCs w:val="28"/>
        </w:rPr>
        <w:t xml:space="preserve"> </w:t>
      </w:r>
      <w:r w:rsidRPr="00E1444D">
        <w:rPr>
          <w:rFonts w:ascii="Times New Roman" w:hAnsi="Times New Roman"/>
          <w:sz w:val="28"/>
          <w:szCs w:val="28"/>
        </w:rPr>
        <w:t>Iespējams, ir nepieciešam</w:t>
      </w:r>
      <w:r w:rsidR="00E1444D">
        <w:rPr>
          <w:rFonts w:ascii="Times New Roman" w:hAnsi="Times New Roman"/>
          <w:sz w:val="28"/>
          <w:szCs w:val="28"/>
        </w:rPr>
        <w:t>s</w:t>
      </w:r>
      <w:r w:rsidRPr="00E1444D">
        <w:rPr>
          <w:rFonts w:ascii="Times New Roman" w:hAnsi="Times New Roman"/>
          <w:sz w:val="28"/>
          <w:szCs w:val="28"/>
        </w:rPr>
        <w:t xml:space="preserve"> vēl diskutēt par to, vai 44.</w:t>
      </w:r>
      <w:r w:rsidRPr="00E1444D">
        <w:rPr>
          <w:rFonts w:ascii="Times New Roman" w:hAnsi="Times New Roman"/>
          <w:sz w:val="28"/>
          <w:szCs w:val="28"/>
          <w:vertAlign w:val="superscript"/>
        </w:rPr>
        <w:t>2</w:t>
      </w:r>
      <w:r w:rsidR="009752A9">
        <w:rPr>
          <w:rFonts w:ascii="Times New Roman" w:hAnsi="Times New Roman"/>
          <w:sz w:val="28"/>
          <w:szCs w:val="28"/>
          <w:vertAlign w:val="superscript"/>
        </w:rPr>
        <w:t xml:space="preserve"> </w:t>
      </w:r>
      <w:r w:rsidRPr="00E1444D">
        <w:rPr>
          <w:rFonts w:ascii="Times New Roman" w:hAnsi="Times New Roman"/>
          <w:sz w:val="28"/>
          <w:szCs w:val="28"/>
        </w:rPr>
        <w:t>punktā robežvērtība būtu jānorāda EUR 10000 vai EUR 42000, izvērtējot, kuras vērtības noteikšanas gadījumā tiek panākta reāli administratīvā sloga samazināšana. LPS ieskatā būtu jākoncentrējas uz finanšu ziņā nozīmīgiem darījumiem, nosakot šo pienākumu sniegt papildus paskaidrojumus iegādes pamatotībai.</w:t>
      </w:r>
    </w:p>
    <w:p w14:paraId="1519CF4A" w14:textId="1159BB9E" w:rsidR="00D50871" w:rsidRPr="00E1444D" w:rsidRDefault="00D50871" w:rsidP="00E1444D">
      <w:pPr>
        <w:ind w:firstLine="720"/>
        <w:jc w:val="both"/>
        <w:rPr>
          <w:rFonts w:ascii="Times New Roman" w:hAnsi="Times New Roman"/>
          <w:sz w:val="28"/>
          <w:szCs w:val="28"/>
        </w:rPr>
      </w:pPr>
      <w:r w:rsidRPr="00E1444D">
        <w:rPr>
          <w:rFonts w:ascii="Times New Roman" w:hAnsi="Times New Roman"/>
          <w:sz w:val="28"/>
          <w:szCs w:val="28"/>
        </w:rPr>
        <w:t>Vienlaicīgi vēlamies atzīmēt, ka nav konstatējams, ka likumdevējs Publisko iepirkumu likuma (turpmāk</w:t>
      </w:r>
      <w:r w:rsidR="009752A9">
        <w:rPr>
          <w:rFonts w:ascii="Times New Roman" w:hAnsi="Times New Roman"/>
          <w:sz w:val="28"/>
          <w:szCs w:val="28"/>
        </w:rPr>
        <w:t xml:space="preserve"> </w:t>
      </w:r>
      <w:r w:rsidRPr="00E1444D">
        <w:rPr>
          <w:rFonts w:ascii="Times New Roman" w:hAnsi="Times New Roman"/>
          <w:sz w:val="28"/>
          <w:szCs w:val="28"/>
        </w:rPr>
        <w:t>- PIL)</w:t>
      </w:r>
      <w:r w:rsidR="009752A9">
        <w:rPr>
          <w:rFonts w:ascii="Times New Roman" w:hAnsi="Times New Roman"/>
          <w:sz w:val="28"/>
          <w:szCs w:val="28"/>
        </w:rPr>
        <w:t xml:space="preserve"> </w:t>
      </w:r>
      <w:r w:rsidRPr="00E1444D">
        <w:rPr>
          <w:rFonts w:ascii="Times New Roman" w:hAnsi="Times New Roman"/>
          <w:sz w:val="28"/>
          <w:szCs w:val="28"/>
        </w:rPr>
        <w:t>17.panta (12) daļā</w:t>
      </w:r>
      <w:r w:rsidR="002D462A">
        <w:rPr>
          <w:rFonts w:ascii="Times New Roman" w:hAnsi="Times New Roman"/>
          <w:sz w:val="28"/>
          <w:szCs w:val="28"/>
        </w:rPr>
        <w:t>,</w:t>
      </w:r>
      <w:r w:rsidRPr="00E1444D">
        <w:rPr>
          <w:rFonts w:ascii="Times New Roman" w:hAnsi="Times New Roman"/>
          <w:sz w:val="28"/>
          <w:szCs w:val="28"/>
        </w:rPr>
        <w:t xml:space="preserve"> nosakot deleģējumu Ministru kabinetam, būtu devis pilnvaras centralizēto iepirkumu institūcijai uzraudzīt pasūtītāju budžeta līdzekļu izmantošanas pamatotību vai lietderību. Centralizēto iepirkumu institūcija tiek veidota, lai centralizēti iepirktu preces un pakalpojumus, un </w:t>
      </w:r>
      <w:r w:rsidR="00E1444D">
        <w:rPr>
          <w:rFonts w:ascii="Times New Roman" w:hAnsi="Times New Roman"/>
          <w:sz w:val="28"/>
          <w:szCs w:val="28"/>
        </w:rPr>
        <w:t xml:space="preserve">PIL 17.panta (3) daļa </w:t>
      </w:r>
      <w:r w:rsidRPr="00E1444D">
        <w:rPr>
          <w:rFonts w:ascii="Times New Roman" w:hAnsi="Times New Roman"/>
          <w:sz w:val="28"/>
          <w:szCs w:val="28"/>
        </w:rPr>
        <w:t>nosaka, ka “</w:t>
      </w:r>
      <w:r w:rsidRPr="00E1444D">
        <w:rPr>
          <w:rFonts w:ascii="Times New Roman" w:hAnsi="Times New Roman"/>
          <w:i/>
          <w:iCs/>
          <w:sz w:val="28"/>
          <w:szCs w:val="28"/>
        </w:rPr>
        <w:t xml:space="preserve">Ja pasūtītājs iepērk preces un pakalpojumus no centralizēto iepirkumu institūcijas vai saņem būvdarbus, piegādes un pakalpojumus ar tās starpniecību, </w:t>
      </w:r>
      <w:r w:rsidRPr="002D462A">
        <w:rPr>
          <w:rFonts w:ascii="Times New Roman" w:hAnsi="Times New Roman"/>
          <w:i/>
          <w:iCs/>
          <w:sz w:val="28"/>
          <w:szCs w:val="28"/>
          <w:u w:val="single"/>
        </w:rPr>
        <w:t>uzskatāms, ka tas ir piemērojis šā likuma prasības, ja centralizēto iepirkumu institūcija, veicot iepirkumu, ir piemērojusi šā likuma prasības</w:t>
      </w:r>
      <w:r w:rsidRPr="00E1444D">
        <w:rPr>
          <w:rFonts w:ascii="Times New Roman" w:hAnsi="Times New Roman"/>
          <w:sz w:val="28"/>
          <w:szCs w:val="28"/>
        </w:rPr>
        <w:t xml:space="preserve">”. Tādejādi nav pamatoti Noteikumos izvirzīt </w:t>
      </w:r>
      <w:r w:rsidR="002D462A">
        <w:rPr>
          <w:rFonts w:ascii="Times New Roman" w:hAnsi="Times New Roman"/>
          <w:sz w:val="28"/>
          <w:szCs w:val="28"/>
        </w:rPr>
        <w:t xml:space="preserve">PIL normās pamatotas </w:t>
      </w:r>
      <w:r w:rsidRPr="00E1444D">
        <w:rPr>
          <w:rFonts w:ascii="Times New Roman" w:hAnsi="Times New Roman"/>
          <w:sz w:val="28"/>
          <w:szCs w:val="28"/>
        </w:rPr>
        <w:t xml:space="preserve">iegādes ierobežojošas prasības, jo tikai pasūtītājs pats var noteikt savas iegādes lietderību un pamatotību, kā arī sniegt skaidrojumus  un pamatojumus kontroles un revīzijas iestādēm. LPS ieskatā Centralizēto iepirkumu institūcijai jāorganizē sava darbība tā, lai tiešās pārvaldes iestādes, pašvaldības un to institūcijas varētu izpildīt PIL 17.panta (7) un (8) daļās noteikto pienākumu preces un pakalpojumus iegādāties no Ministru kabineta noteiktās centralizēto iepirkumu institūcijas. Tāpat arī uzskatām, ka Centralizēto iepirkumu institūcijai būtu </w:t>
      </w:r>
      <w:r w:rsidRPr="00E1444D">
        <w:rPr>
          <w:rFonts w:ascii="Times New Roman" w:hAnsi="Times New Roman"/>
          <w:sz w:val="28"/>
          <w:szCs w:val="28"/>
        </w:rPr>
        <w:lastRenderedPageBreak/>
        <w:t>jāpaplašina to preču un pakalpojumu (17.panta (12)</w:t>
      </w:r>
      <w:r w:rsidR="009752A9">
        <w:rPr>
          <w:rFonts w:ascii="Times New Roman" w:hAnsi="Times New Roman"/>
          <w:sz w:val="28"/>
          <w:szCs w:val="28"/>
        </w:rPr>
        <w:t xml:space="preserve"> </w:t>
      </w:r>
      <w:r w:rsidRPr="00E1444D">
        <w:rPr>
          <w:rFonts w:ascii="Times New Roman" w:hAnsi="Times New Roman"/>
          <w:sz w:val="28"/>
          <w:szCs w:val="28"/>
        </w:rPr>
        <w:t>daļas pirmais punkts) klāsts, ko iespējams iegādāties EIS, izskatot arī iespējas paplašināt jau noteiktās preču un pakalpojumu grupas.</w:t>
      </w:r>
    </w:p>
    <w:p w14:paraId="1A31FF16" w14:textId="77777777" w:rsidR="00D50871" w:rsidRPr="00E1444D" w:rsidRDefault="00D50871" w:rsidP="00E1444D">
      <w:pPr>
        <w:ind w:firstLine="720"/>
        <w:jc w:val="both"/>
        <w:rPr>
          <w:rFonts w:ascii="Times New Roman" w:hAnsi="Times New Roman"/>
          <w:sz w:val="28"/>
          <w:szCs w:val="28"/>
        </w:rPr>
      </w:pPr>
      <w:r w:rsidRPr="00E1444D">
        <w:rPr>
          <w:rFonts w:ascii="Times New Roman" w:hAnsi="Times New Roman"/>
          <w:sz w:val="28"/>
          <w:szCs w:val="28"/>
        </w:rPr>
        <w:t xml:space="preserve">Ņemot vērā iepriekš minēto, LPS neatbalsta anotācijas papildināšanu ar tekstu: </w:t>
      </w:r>
    </w:p>
    <w:p w14:paraId="0B13A11F" w14:textId="77777777" w:rsidR="00D50871" w:rsidRPr="00E1444D" w:rsidRDefault="00D50871" w:rsidP="00D50871">
      <w:pPr>
        <w:jc w:val="both"/>
        <w:rPr>
          <w:rFonts w:ascii="Times New Roman" w:hAnsi="Times New Roman"/>
          <w:i/>
          <w:iCs/>
          <w:sz w:val="28"/>
          <w:szCs w:val="28"/>
        </w:rPr>
      </w:pPr>
      <w:r w:rsidRPr="00E1444D">
        <w:rPr>
          <w:rFonts w:ascii="Times New Roman" w:hAnsi="Times New Roman"/>
          <w:i/>
          <w:iCs/>
          <w:sz w:val="28"/>
          <w:szCs w:val="28"/>
        </w:rPr>
        <w:t>Pēc kompetento institūciju pieprasījuma pasūtītajiem jebkurā gadījumā ir jāspēj pamatot,  kāpēc nav bijuši iespējami alternatīvi risinājumi, kā arī šādas preces vai pakalpojuma iegādes nepieciešamību vai iepērkamo preču vai pakalpojumu savstarpējās saderības nepieciešamību, jo īpaši saistībā ar esošā risinājuma aizstāšanas iespējamajām izmaksām un to samērīgumu un iegūstamā risinājuma uzturēšanu un ekspluatāciju.</w:t>
      </w:r>
    </w:p>
    <w:p w14:paraId="0B18E999" w14:textId="77777777" w:rsidR="00D50871" w:rsidRPr="00E1444D" w:rsidRDefault="00D50871" w:rsidP="00D50871">
      <w:pPr>
        <w:jc w:val="both"/>
        <w:rPr>
          <w:rFonts w:ascii="Times New Roman" w:hAnsi="Times New Roman"/>
          <w:i/>
          <w:iCs/>
          <w:sz w:val="28"/>
          <w:szCs w:val="28"/>
        </w:rPr>
      </w:pPr>
      <w:r w:rsidRPr="00E1444D">
        <w:rPr>
          <w:rFonts w:ascii="Times New Roman" w:hAnsi="Times New Roman"/>
          <w:i/>
          <w:iCs/>
          <w:sz w:val="28"/>
          <w:szCs w:val="28"/>
        </w:rPr>
        <w:t>Pasūtītājiem jāņem vērā, ka Noteikumu 44.2 punktā minētā pamatojuma nepievienošanas izņēmums pasūtījumiem, kuru līgumcena nepārsniedz Publisko iepirkumu likuma 9. panta pirmajā daļā noteikto slieksni, nebūtu piemērojams tajos gadījumos, ja konstatējams, ka pasūtītājs nav rīkojies atbilstoši Noteikumu 40.punktā noteiktajam darījumu plānošanas nosacījumam un, kur tas bijis iespējams, nav apvienojis darījumus vienā pasūtījumā preču vai pakalpojumu grupas ietvaros, ja tā rezultātā darījumu līgumcenas nav sasniegušas Publisko iepirkumu likuma 9. panta pirmajā daļā noteikto slieksni.</w:t>
      </w:r>
    </w:p>
    <w:p w14:paraId="5864B92A" w14:textId="76190727" w:rsidR="008771CD" w:rsidRPr="00BB55C0" w:rsidRDefault="00D50871" w:rsidP="00A96D2C">
      <w:pPr>
        <w:jc w:val="both"/>
        <w:rPr>
          <w:rFonts w:ascii="Times New Roman" w:hAnsi="Times New Roman"/>
          <w:sz w:val="28"/>
          <w:szCs w:val="28"/>
        </w:rPr>
      </w:pPr>
      <w:r w:rsidRPr="00E1444D">
        <w:rPr>
          <w:rFonts w:ascii="Times New Roman" w:hAnsi="Times New Roman"/>
          <w:sz w:val="28"/>
          <w:szCs w:val="28"/>
        </w:rPr>
        <w:t>Darījumu plānošanas kontrole, vērtēšana, vai pasūtītājs ir pamatoti apvienojis vai dalījis iegādes, LPS ieskatā nav EIS funkcija un kompetence. Dažādu ierobežojumu radīšana EIS tikai paplašinās to gadījumu skaitu, kad pasūtītāji iegādāsies preces un pakalpojumus ārpus EIS, un tas ir pretrunā ar   PIL 17.panta normu mērķi</w:t>
      </w:r>
      <w:r w:rsidR="00BB19C7">
        <w:rPr>
          <w:rFonts w:ascii="Times New Roman" w:hAnsi="Times New Roman"/>
          <w:sz w:val="28"/>
          <w:szCs w:val="28"/>
        </w:rPr>
        <w:t>.</w:t>
      </w:r>
    </w:p>
    <w:p w14:paraId="2B20536E" w14:textId="77777777" w:rsidR="00BA1C1C" w:rsidRPr="00BB55C0" w:rsidRDefault="00BA1C1C" w:rsidP="00BA1C1C">
      <w:pPr>
        <w:jc w:val="both"/>
        <w:rPr>
          <w:rFonts w:ascii="Times New Roman" w:hAnsi="Times New Roman"/>
          <w:sz w:val="28"/>
          <w:szCs w:val="28"/>
        </w:rPr>
      </w:pPr>
    </w:p>
    <w:p w14:paraId="122D79BB" w14:textId="3A7F5425" w:rsidR="00A96D2C" w:rsidRDefault="00A96D2C" w:rsidP="00A96D2C">
      <w:pPr>
        <w:jc w:val="both"/>
        <w:rPr>
          <w:rFonts w:ascii="Times New Roman" w:hAnsi="Times New Roman"/>
          <w:sz w:val="28"/>
          <w:szCs w:val="28"/>
        </w:rPr>
      </w:pPr>
    </w:p>
    <w:p w14:paraId="41CBEEAD" w14:textId="47903784" w:rsidR="009752A9" w:rsidRDefault="009752A9" w:rsidP="00A96D2C">
      <w:pPr>
        <w:jc w:val="both"/>
        <w:rPr>
          <w:rFonts w:ascii="Times New Roman" w:hAnsi="Times New Roman"/>
          <w:sz w:val="28"/>
          <w:szCs w:val="28"/>
        </w:rPr>
      </w:pPr>
    </w:p>
    <w:p w14:paraId="02AEA689" w14:textId="77777777" w:rsidR="009752A9" w:rsidRPr="00BB55C0" w:rsidRDefault="009752A9" w:rsidP="00A96D2C">
      <w:pPr>
        <w:jc w:val="both"/>
        <w:rPr>
          <w:rFonts w:ascii="Times New Roman" w:hAnsi="Times New Roman"/>
          <w:sz w:val="28"/>
          <w:szCs w:val="28"/>
        </w:rPr>
      </w:pPr>
    </w:p>
    <w:tbl>
      <w:tblPr>
        <w:tblW w:w="9029" w:type="dxa"/>
        <w:tblLook w:val="04A0" w:firstRow="1" w:lastRow="0" w:firstColumn="1" w:lastColumn="0" w:noHBand="0" w:noVBand="1"/>
      </w:tblPr>
      <w:tblGrid>
        <w:gridCol w:w="4157"/>
        <w:gridCol w:w="2648"/>
        <w:gridCol w:w="2224"/>
      </w:tblGrid>
      <w:tr w:rsidR="00BD361F" w:rsidRPr="00E11005" w14:paraId="4AAC958F" w14:textId="77777777" w:rsidTr="00627C1E">
        <w:trPr>
          <w:trHeight w:val="409"/>
        </w:trPr>
        <w:tc>
          <w:tcPr>
            <w:tcW w:w="4157" w:type="dxa"/>
            <w:vAlign w:val="center"/>
          </w:tcPr>
          <w:p w14:paraId="488D9CDF" w14:textId="2A114CFC" w:rsidR="00BD361F" w:rsidRPr="00E11005" w:rsidRDefault="00BD361F" w:rsidP="00627C1E">
            <w:pPr>
              <w:rPr>
                <w:rFonts w:ascii="Times New Roman" w:hAnsi="Times New Roman"/>
                <w:sz w:val="28"/>
                <w:szCs w:val="28"/>
              </w:rPr>
            </w:pPr>
            <w:r>
              <w:rPr>
                <w:rFonts w:ascii="Times New Roman" w:hAnsi="Times New Roman"/>
                <w:sz w:val="28"/>
                <w:szCs w:val="28"/>
              </w:rPr>
              <w:t>Priekšsē</w:t>
            </w:r>
            <w:r w:rsidR="00871D3B">
              <w:rPr>
                <w:rFonts w:ascii="Times New Roman" w:hAnsi="Times New Roman"/>
                <w:sz w:val="28"/>
                <w:szCs w:val="28"/>
              </w:rPr>
              <w:t xml:space="preserve">ža </w:t>
            </w:r>
            <w:proofErr w:type="spellStart"/>
            <w:r w:rsidR="00871D3B">
              <w:rPr>
                <w:rFonts w:ascii="Times New Roman" w:hAnsi="Times New Roman"/>
                <w:sz w:val="28"/>
                <w:szCs w:val="28"/>
              </w:rPr>
              <w:t>p.i</w:t>
            </w:r>
            <w:proofErr w:type="spellEnd"/>
            <w:r w:rsidR="00871D3B">
              <w:rPr>
                <w:rFonts w:ascii="Times New Roman" w:hAnsi="Times New Roman"/>
                <w:sz w:val="28"/>
                <w:szCs w:val="28"/>
              </w:rPr>
              <w:t>.</w:t>
            </w:r>
          </w:p>
        </w:tc>
        <w:tc>
          <w:tcPr>
            <w:tcW w:w="2648" w:type="dxa"/>
            <w:vAlign w:val="center"/>
          </w:tcPr>
          <w:p w14:paraId="7BC7E90E" w14:textId="77777777" w:rsidR="00BD361F" w:rsidRPr="00E11005" w:rsidRDefault="00BD361F" w:rsidP="00627C1E">
            <w:pPr>
              <w:tabs>
                <w:tab w:val="left" w:pos="720"/>
                <w:tab w:val="center" w:pos="4320"/>
                <w:tab w:val="right" w:pos="8640"/>
              </w:tabs>
              <w:rPr>
                <w:rFonts w:ascii="Times New Roman" w:hAnsi="Times New Roman"/>
                <w:sz w:val="28"/>
                <w:szCs w:val="28"/>
              </w:rPr>
            </w:pPr>
            <w:r w:rsidRPr="00E11005">
              <w:rPr>
                <w:rFonts w:ascii="Times New Roman" w:hAnsi="Times New Roman"/>
                <w:sz w:val="24"/>
                <w:szCs w:val="28"/>
              </w:rPr>
              <w:t>(paraksts*)</w:t>
            </w:r>
          </w:p>
        </w:tc>
        <w:tc>
          <w:tcPr>
            <w:tcW w:w="2224" w:type="dxa"/>
            <w:vAlign w:val="center"/>
          </w:tcPr>
          <w:p w14:paraId="3F44BA51" w14:textId="289806E7" w:rsidR="00BD361F" w:rsidRPr="00E11005" w:rsidRDefault="00871D3B" w:rsidP="006A44BD">
            <w:pPr>
              <w:rPr>
                <w:rFonts w:ascii="Times New Roman" w:hAnsi="Times New Roman"/>
                <w:sz w:val="28"/>
                <w:szCs w:val="28"/>
              </w:rPr>
            </w:pPr>
            <w:r>
              <w:rPr>
                <w:rFonts w:ascii="Times New Roman" w:hAnsi="Times New Roman"/>
                <w:sz w:val="28"/>
                <w:szCs w:val="28"/>
              </w:rPr>
              <w:t>Mudīte Priede</w:t>
            </w:r>
          </w:p>
        </w:tc>
      </w:tr>
    </w:tbl>
    <w:p w14:paraId="59F26A83" w14:textId="77777777" w:rsidR="00BD361F" w:rsidRPr="00322021" w:rsidRDefault="00BD361F" w:rsidP="00BD361F">
      <w:pPr>
        <w:jc w:val="both"/>
        <w:rPr>
          <w:rFonts w:ascii="Times New Roman" w:hAnsi="Times New Roman"/>
          <w:sz w:val="28"/>
        </w:rPr>
      </w:pPr>
    </w:p>
    <w:p w14:paraId="6D0B2EEE" w14:textId="77777777" w:rsidR="009C4C2E" w:rsidRPr="00BB55C0" w:rsidRDefault="009C4C2E" w:rsidP="009C4C2E">
      <w:pPr>
        <w:jc w:val="both"/>
        <w:rPr>
          <w:rFonts w:ascii="Times New Roman" w:hAnsi="Times New Roman"/>
          <w:sz w:val="28"/>
          <w:szCs w:val="28"/>
        </w:rPr>
      </w:pPr>
    </w:p>
    <w:p w14:paraId="611453A0" w14:textId="77777777" w:rsidR="009C4C2E" w:rsidRPr="00BB55C0" w:rsidRDefault="009C4C2E" w:rsidP="009C4C2E">
      <w:pPr>
        <w:jc w:val="both"/>
        <w:rPr>
          <w:rFonts w:ascii="Times New Roman" w:hAnsi="Times New Roman"/>
          <w:sz w:val="28"/>
          <w:szCs w:val="28"/>
        </w:rPr>
      </w:pPr>
    </w:p>
    <w:p w14:paraId="172EDB40" w14:textId="1B071127" w:rsidR="009C4C2E" w:rsidRPr="00BB55C0" w:rsidRDefault="009C4C2E" w:rsidP="009C4C2E">
      <w:pPr>
        <w:jc w:val="both"/>
        <w:rPr>
          <w:rFonts w:ascii="Times New Roman" w:hAnsi="Times New Roman"/>
          <w:color w:val="FF0000"/>
        </w:rPr>
      </w:pPr>
    </w:p>
    <w:p w14:paraId="02C1344F" w14:textId="77777777" w:rsidR="001443E4" w:rsidRPr="001443E4" w:rsidRDefault="00BD361F" w:rsidP="001443E4">
      <w:pPr>
        <w:rPr>
          <w:rFonts w:ascii="Times New Roman" w:hAnsi="Times New Roman"/>
          <w:sz w:val="24"/>
          <w:szCs w:val="24"/>
          <w:lang w:eastAsia="lv-LV"/>
        </w:rPr>
      </w:pPr>
      <w:r w:rsidRPr="001443E4">
        <w:rPr>
          <w:rFonts w:ascii="Times New Roman" w:hAnsi="Times New Roman"/>
          <w:sz w:val="24"/>
          <w:szCs w:val="24"/>
        </w:rPr>
        <w:t xml:space="preserve">Daina Dzilna </w:t>
      </w:r>
      <w:r w:rsidR="001443E4" w:rsidRPr="001443E4">
        <w:rPr>
          <w:rFonts w:ascii="Times New Roman" w:hAnsi="Times New Roman"/>
          <w:sz w:val="24"/>
          <w:szCs w:val="24"/>
        </w:rPr>
        <w:t xml:space="preserve">25600889 </w:t>
      </w:r>
    </w:p>
    <w:p w14:paraId="26D04C80" w14:textId="77777777" w:rsidR="00BD361F" w:rsidRPr="00B62FB6" w:rsidRDefault="00BD361F" w:rsidP="00BD361F">
      <w:pPr>
        <w:rPr>
          <w:rFonts w:ascii="Times New Roman" w:hAnsi="Times New Roman"/>
          <w:sz w:val="24"/>
          <w:szCs w:val="24"/>
        </w:rPr>
      </w:pPr>
      <w:r>
        <w:rPr>
          <w:rFonts w:ascii="Times New Roman" w:hAnsi="Times New Roman"/>
          <w:sz w:val="24"/>
          <w:szCs w:val="24"/>
        </w:rPr>
        <w:t>Daina.Dzilna@lps.lv</w:t>
      </w:r>
    </w:p>
    <w:p w14:paraId="62E1A82F" w14:textId="77777777" w:rsidR="003C575D" w:rsidRPr="00BB55C0" w:rsidRDefault="003C575D">
      <w:pPr>
        <w:rPr>
          <w:rFonts w:ascii="Times New Roman" w:hAnsi="Times New Roman"/>
        </w:rPr>
      </w:pPr>
    </w:p>
    <w:p w14:paraId="7536CCC9" w14:textId="77777777" w:rsidR="00DD6F0D" w:rsidRDefault="00DD6F0D" w:rsidP="00270C8C">
      <w:pPr>
        <w:jc w:val="both"/>
        <w:rPr>
          <w:rFonts w:ascii="Times New Roman" w:hAnsi="Times New Roman"/>
          <w:sz w:val="26"/>
          <w:szCs w:val="26"/>
        </w:rPr>
      </w:pPr>
    </w:p>
    <w:p w14:paraId="05FE00B3" w14:textId="03E4A266" w:rsidR="00BB55C0" w:rsidRDefault="00DD6F0D" w:rsidP="00270C8C">
      <w:pPr>
        <w:jc w:val="both"/>
        <w:rPr>
          <w:rFonts w:ascii="Times New Roman" w:hAnsi="Times New Roman"/>
          <w:sz w:val="26"/>
          <w:szCs w:val="26"/>
        </w:rPr>
      </w:pPr>
      <w:r>
        <w:rPr>
          <w:rFonts w:ascii="Times New Roman" w:hAnsi="Times New Roman"/>
          <w:sz w:val="26"/>
          <w:szCs w:val="26"/>
        </w:rPr>
        <w:t>*</w:t>
      </w:r>
      <w:r w:rsidR="00270C8C" w:rsidRPr="00BB55C0">
        <w:rPr>
          <w:rFonts w:ascii="Times New Roman" w:hAnsi="Times New Roman"/>
          <w:sz w:val="26"/>
          <w:szCs w:val="26"/>
        </w:rPr>
        <w:t>Šis dokuments ir parakstīts ar drošu elektronisko parakstu un satur laika zīmogu.</w:t>
      </w:r>
    </w:p>
    <w:p w14:paraId="7C6D7C89" w14:textId="77777777" w:rsidR="00BB55C0" w:rsidRPr="00BB55C0" w:rsidRDefault="00BB55C0" w:rsidP="00BB55C0">
      <w:pPr>
        <w:rPr>
          <w:rFonts w:ascii="Times New Roman" w:hAnsi="Times New Roman"/>
          <w:sz w:val="26"/>
          <w:szCs w:val="26"/>
        </w:rPr>
      </w:pPr>
    </w:p>
    <w:p w14:paraId="0715D907" w14:textId="77777777" w:rsidR="003C575D" w:rsidRPr="00BB55C0" w:rsidRDefault="003C575D" w:rsidP="00BB55C0">
      <w:pPr>
        <w:rPr>
          <w:rFonts w:ascii="Times New Roman" w:hAnsi="Times New Roman"/>
          <w:sz w:val="26"/>
          <w:szCs w:val="26"/>
        </w:rPr>
      </w:pPr>
    </w:p>
    <w:sectPr w:rsidR="003C575D" w:rsidRPr="00BB55C0" w:rsidSect="006656C3">
      <w:headerReference w:type="even" r:id="rId6"/>
      <w:headerReference w:type="default" r:id="rId7"/>
      <w:footerReference w:type="default" r:id="rId8"/>
      <w:headerReference w:type="first" r:id="rId9"/>
      <w:footerReference w:type="first" r:id="rId10"/>
      <w:pgSz w:w="11909" w:h="16834" w:code="9"/>
      <w:pgMar w:top="851" w:right="1253" w:bottom="851" w:left="1871" w:header="720" w:footer="87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A2ED5" w14:textId="77777777" w:rsidR="002F48E2" w:rsidRDefault="002F48E2">
      <w:r>
        <w:separator/>
      </w:r>
    </w:p>
  </w:endnote>
  <w:endnote w:type="continuationSeparator" w:id="0">
    <w:p w14:paraId="057FCD1C" w14:textId="77777777" w:rsidR="002F48E2" w:rsidRDefault="002F4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94DDC" w14:textId="77777777" w:rsidR="00F73BDE" w:rsidRDefault="00F73BDE">
    <w:pPr>
      <w:pStyle w:val="Kjen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2688" w14:textId="0A899CF6" w:rsidR="00F73BDE" w:rsidRPr="00983F64" w:rsidRDefault="00F73BDE" w:rsidP="00983F64">
    <w:pPr>
      <w:pStyle w:val="Kjene"/>
    </w:pPr>
    <w:bookmarkStart w:id="1" w:name="Subject3"/>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1592F" w14:textId="77777777" w:rsidR="002F48E2" w:rsidRDefault="002F48E2">
      <w:r>
        <w:separator/>
      </w:r>
    </w:p>
  </w:footnote>
  <w:footnote w:type="continuationSeparator" w:id="0">
    <w:p w14:paraId="26B2C237" w14:textId="77777777" w:rsidR="002F48E2" w:rsidRDefault="002F4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4205F" w14:textId="77777777" w:rsidR="00F73BDE" w:rsidRDefault="00F73BDE">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751AC94E" w14:textId="77777777" w:rsidR="00F73BDE" w:rsidRDefault="00F73BD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AD1F3" w14:textId="77777777" w:rsidR="00F73BDE" w:rsidRDefault="00F73BDE">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A1C1C">
      <w:rPr>
        <w:rStyle w:val="Lappusesnumurs"/>
        <w:noProof/>
      </w:rPr>
      <w:t>2</w:t>
    </w:r>
    <w:r>
      <w:rPr>
        <w:rStyle w:val="Lappusesnumurs"/>
      </w:rPr>
      <w:fldChar w:fldCharType="end"/>
    </w:r>
  </w:p>
  <w:p w14:paraId="44C53E87" w14:textId="77777777" w:rsidR="00F73BDE" w:rsidRDefault="00F73BDE">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4D22E" w14:textId="77777777" w:rsidR="00AF4578" w:rsidRDefault="00AF4578" w:rsidP="00AF4578">
    <w:pPr>
      <w:tabs>
        <w:tab w:val="left" w:pos="1440"/>
      </w:tabs>
      <w:rPr>
        <w:rFonts w:ascii="Times New Roman" w:hAnsi="Times New Roman"/>
        <w:b/>
        <w:sz w:val="36"/>
      </w:rPr>
    </w:pPr>
    <w:r>
      <w:rPr>
        <w:noProof/>
      </w:rPr>
      <w:drawing>
        <wp:anchor distT="0" distB="0" distL="114300" distR="114300" simplePos="0" relativeHeight="251660288" behindDoc="1" locked="0" layoutInCell="1" allowOverlap="1" wp14:anchorId="0D830FB1" wp14:editId="77FDA535">
          <wp:simplePos x="0" y="0"/>
          <wp:positionH relativeFrom="column">
            <wp:posOffset>-289560</wp:posOffset>
          </wp:positionH>
          <wp:positionV relativeFrom="paragraph">
            <wp:posOffset>-239033</wp:posOffset>
          </wp:positionV>
          <wp:extent cx="1251858" cy="1333191"/>
          <wp:effectExtent l="0" t="0" r="571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858" cy="1333191"/>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48"/>
      </w:rPr>
      <w:tab/>
    </w:r>
    <w:r>
      <w:rPr>
        <w:rFonts w:ascii="Times New Roman" w:hAnsi="Times New Roman"/>
        <w:b/>
        <w:sz w:val="40"/>
      </w:rPr>
      <w:t>LATVIJAS PAŠVALDĪBU SAVIENĪBA</w:t>
    </w:r>
  </w:p>
  <w:p w14:paraId="265018E3" w14:textId="77777777" w:rsidR="00AF4578" w:rsidRDefault="00AF4578" w:rsidP="00AF4578">
    <w:pPr>
      <w:rPr>
        <w:rFonts w:ascii="Times New Roman" w:hAnsi="Times New Roman"/>
        <w:b/>
        <w:sz w:val="8"/>
      </w:rPr>
    </w:pPr>
    <w:r>
      <w:rPr>
        <w:rFonts w:ascii="Times New Roman" w:hAnsi="Times New Roman"/>
        <w:b/>
        <w:sz w:val="22"/>
      </w:rPr>
      <w:tab/>
    </w:r>
    <w:r>
      <w:rPr>
        <w:rFonts w:ascii="Times New Roman" w:hAnsi="Times New Roman"/>
        <w:b/>
        <w:sz w:val="22"/>
      </w:rPr>
      <w:tab/>
    </w:r>
  </w:p>
  <w:p w14:paraId="69D77EB3" w14:textId="77777777" w:rsidR="00AF4578" w:rsidRDefault="00AF4578" w:rsidP="00AF4578">
    <w:pPr>
      <w:tabs>
        <w:tab w:val="left" w:pos="1440"/>
      </w:tabs>
      <w:rPr>
        <w:rFonts w:ascii="Times New Roman" w:hAnsi="Times New Roman"/>
        <w:b/>
        <w:sz w:val="18"/>
        <w:szCs w:val="21"/>
      </w:rPr>
    </w:pPr>
    <w:r>
      <w:rPr>
        <w:rFonts w:ascii="Times New Roman" w:hAnsi="Times New Roman"/>
        <w:b/>
        <w:sz w:val="8"/>
      </w:rPr>
      <w:tab/>
    </w:r>
    <w:r>
      <w:rPr>
        <w:rFonts w:ascii="Times New Roman" w:hAnsi="Times New Roman"/>
        <w:b/>
        <w:sz w:val="18"/>
        <w:szCs w:val="21"/>
      </w:rPr>
      <w:t>Mazā Pils iela 1, Rīga, LV-1050</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Nod.maks.kods</w:t>
    </w:r>
    <w:proofErr w:type="spellEnd"/>
    <w:r>
      <w:rPr>
        <w:rFonts w:ascii="Times New Roman" w:hAnsi="Times New Roman"/>
        <w:b/>
        <w:sz w:val="18"/>
        <w:szCs w:val="21"/>
      </w:rPr>
      <w:t>: 40008020804</w:t>
    </w:r>
    <w:r>
      <w:rPr>
        <w:rFonts w:ascii="Times New Roman" w:hAnsi="Times New Roman"/>
        <w:b/>
        <w:sz w:val="18"/>
        <w:szCs w:val="21"/>
      </w:rPr>
      <w:tab/>
    </w:r>
  </w:p>
  <w:p w14:paraId="0B2488C0" w14:textId="77777777" w:rsidR="00AF4578" w:rsidRDefault="00AF4578" w:rsidP="00AF4578">
    <w:pPr>
      <w:ind w:left="720" w:firstLine="720"/>
      <w:rPr>
        <w:rFonts w:ascii="Times New Roman" w:hAnsi="Times New Roman"/>
        <w:b/>
        <w:sz w:val="18"/>
        <w:szCs w:val="21"/>
      </w:rPr>
    </w:pPr>
    <w:r>
      <w:rPr>
        <w:rFonts w:ascii="Times New Roman" w:hAnsi="Times New Roman"/>
        <w:b/>
        <w:sz w:val="18"/>
        <w:szCs w:val="21"/>
      </w:rPr>
      <w:t xml:space="preserve">Tālr. 67226536, </w:t>
    </w:r>
    <w:smartTag w:uri="schemas-tilde-lv/tildestengine" w:element="veidnes">
      <w:smartTagPr>
        <w:attr w:name="id" w:val="-1"/>
        <w:attr w:name="baseform" w:val="fakss"/>
        <w:attr w:name="text" w:val="fakss"/>
      </w:smartTagPr>
      <w:r>
        <w:rPr>
          <w:rFonts w:ascii="Times New Roman" w:hAnsi="Times New Roman"/>
          <w:b/>
          <w:sz w:val="18"/>
          <w:szCs w:val="21"/>
        </w:rPr>
        <w:t>fakss</w:t>
      </w:r>
    </w:smartTag>
    <w:r>
      <w:rPr>
        <w:rFonts w:ascii="Times New Roman" w:hAnsi="Times New Roman"/>
        <w:b/>
        <w:sz w:val="18"/>
        <w:szCs w:val="21"/>
      </w:rPr>
      <w:t xml:space="preserve"> 67212241</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Nor.konts</w:t>
    </w:r>
    <w:proofErr w:type="spellEnd"/>
    <w:r>
      <w:rPr>
        <w:rFonts w:ascii="Times New Roman" w:hAnsi="Times New Roman"/>
        <w:b/>
        <w:sz w:val="18"/>
        <w:szCs w:val="21"/>
      </w:rPr>
      <w:t xml:space="preserve"> LV53UNLA0001001700906</w:t>
    </w:r>
  </w:p>
  <w:p w14:paraId="139EDA8F" w14:textId="77777777" w:rsidR="00AF4578" w:rsidRDefault="00AF4578" w:rsidP="00AF4578">
    <w:pPr>
      <w:tabs>
        <w:tab w:val="left" w:pos="1440"/>
      </w:tabs>
      <w:rPr>
        <w:rFonts w:ascii="Times New Roman" w:hAnsi="Times New Roman"/>
        <w:b/>
        <w:sz w:val="18"/>
        <w:szCs w:val="21"/>
      </w:rPr>
    </w:pPr>
    <w:r>
      <w:rPr>
        <w:rFonts w:ascii="Times New Roman" w:hAnsi="Times New Roman"/>
        <w:b/>
        <w:sz w:val="18"/>
        <w:szCs w:val="21"/>
      </w:rPr>
      <w:tab/>
      <w:t xml:space="preserve">e-pasts: </w:t>
    </w:r>
    <w:hyperlink r:id="rId2" w:history="1">
      <w:r>
        <w:rPr>
          <w:rStyle w:val="Hipersaite"/>
          <w:rFonts w:ascii="Times New Roman" w:hAnsi="Times New Roman"/>
          <w:b/>
          <w:sz w:val="18"/>
          <w:szCs w:val="21"/>
        </w:rPr>
        <w:t>lps@lps.lv</w:t>
      </w:r>
    </w:hyperlink>
    <w:r>
      <w:rPr>
        <w:rFonts w:ascii="Times New Roman" w:hAnsi="Times New Roman"/>
        <w:b/>
        <w:sz w:val="18"/>
        <w:szCs w:val="21"/>
      </w:rPr>
      <w:t xml:space="preserve"> </w:t>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lang w:val="da-DK"/>
      </w:rPr>
      <w:t>AS "SEB banka"</w:t>
    </w:r>
  </w:p>
  <w:p w14:paraId="50336B40" w14:textId="77777777" w:rsidR="00AF4578" w:rsidRDefault="00AF4578" w:rsidP="00AF4578">
    <w:pPr>
      <w:tabs>
        <w:tab w:val="left" w:pos="1440"/>
      </w:tabs>
      <w:rPr>
        <w:rFonts w:ascii="Times New Roman" w:hAnsi="Times New Roman"/>
        <w:b/>
        <w:sz w:val="22"/>
      </w:rPr>
    </w:pPr>
    <w:r>
      <w:rPr>
        <w:rFonts w:ascii="Times New Roman" w:hAnsi="Times New Roman"/>
        <w:b/>
        <w:sz w:val="18"/>
        <w:szCs w:val="21"/>
      </w:rPr>
      <w:tab/>
    </w:r>
    <w:hyperlink r:id="rId3" w:history="1">
      <w:r>
        <w:rPr>
          <w:rStyle w:val="Hipersaite"/>
          <w:rFonts w:ascii="Times New Roman" w:hAnsi="Times New Roman"/>
          <w:b/>
          <w:sz w:val="18"/>
          <w:szCs w:val="21"/>
          <w:lang w:val="da-DK"/>
        </w:rPr>
        <w:t>www.lps.lv</w:t>
      </w:r>
    </w:hyperlink>
    <w:r>
      <w:rPr>
        <w:rFonts w:ascii="Times New Roman" w:hAnsi="Times New Roman"/>
        <w:b/>
        <w:sz w:val="18"/>
        <w:szCs w:val="21"/>
        <w:lang w:val="da-DK"/>
      </w:rPr>
      <w:t xml:space="preserve"> </w:t>
    </w:r>
    <w:r>
      <w:rPr>
        <w:rFonts w:ascii="Times New Roman" w:hAnsi="Times New Roman"/>
        <w:b/>
        <w:sz w:val="18"/>
        <w:szCs w:val="21"/>
        <w:lang w:val="da-DK"/>
      </w:rPr>
      <w:tab/>
    </w:r>
    <w:r>
      <w:rPr>
        <w:rFonts w:ascii="Times New Roman" w:hAnsi="Times New Roman"/>
        <w:b/>
        <w:sz w:val="18"/>
        <w:szCs w:val="21"/>
        <w:lang w:val="da-DK"/>
      </w:rPr>
      <w:tab/>
    </w:r>
    <w:r>
      <w:rPr>
        <w:rFonts w:ascii="Times New Roman" w:hAnsi="Times New Roman"/>
        <w:b/>
        <w:sz w:val="18"/>
        <w:szCs w:val="21"/>
        <w:lang w:val="da-DK"/>
      </w:rPr>
      <w:tab/>
      <w:t>kods UNLALV2X</w:t>
    </w:r>
    <w:r>
      <w:rPr>
        <w:rFonts w:ascii="Times New Roman" w:hAnsi="Times New Roman"/>
        <w:b/>
        <w:sz w:val="22"/>
      </w:rPr>
      <w:tab/>
    </w:r>
    <w:r>
      <w:rPr>
        <w:rFonts w:ascii="Times New Roman" w:hAnsi="Times New Roman"/>
        <w:b/>
        <w:sz w:val="22"/>
      </w:rPr>
      <w:tab/>
    </w:r>
  </w:p>
  <w:p w14:paraId="5B404C75" w14:textId="274CF7E4" w:rsidR="00424D06" w:rsidRPr="00AF4578" w:rsidRDefault="00AF4578" w:rsidP="00AF4578">
    <w:pPr>
      <w:jc w:val="center"/>
      <w:rPr>
        <w:rFonts w:ascii="Times New Roman" w:hAnsi="Times New Roman"/>
        <w:b/>
        <w:sz w:val="28"/>
        <w:szCs w:val="28"/>
      </w:rPr>
    </w:pPr>
    <w:r>
      <w:rPr>
        <w:noProof/>
      </w:rPr>
      <mc:AlternateContent>
        <mc:Choice Requires="wps">
          <w:drawing>
            <wp:anchor distT="0" distB="0" distL="114300" distR="114300" simplePos="0" relativeHeight="251659264" behindDoc="0" locked="0" layoutInCell="0" allowOverlap="1" wp14:anchorId="58B7CD07" wp14:editId="1E41593E">
              <wp:simplePos x="0" y="0"/>
              <wp:positionH relativeFrom="column">
                <wp:posOffset>-174625</wp:posOffset>
              </wp:positionH>
              <wp:positionV relativeFrom="paragraph">
                <wp:posOffset>83820</wp:posOffset>
              </wp:positionV>
              <wp:extent cx="576643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6435" cy="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3C0A9"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pt,6.6pt" to="440.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5G1AEAAKIDAAAOAAAAZHJzL2Uyb0RvYy54bWysU8GO0zAQvSPxD5bvNGlpC4qa7qHLcilQ&#10;aZcPmNpOY2F7LNtt0r9n7G27CxyQEDlYsefN87w349XdaA07qRA1upZPJzVnygmU2h1a/v3p4d1H&#10;zmICJ8GgUy0/q8jv1m/frAbfqBn2aKQKjEhcbAbf8j4l31RVFL2yECfolaNgh8FCom04VDLAQOzW&#10;VLO6XlYDBukDChUjnd4/B/m68HedEulb10WVmGk51ZbKGsq6z2u1XkFzCOB7LS5lwD9UYUE7uvRG&#10;dQ8J2DHoP6isFgEjdmki0FbYdVqoooHUTOvf1Dz24FXRQuZEf7Mp/j9a8fW0C0xL6h1nDiy1aKud&#10;YvPszOBjQ4CN24WsTYzu0W9R/IjM4aYHd1Clwqezp7Rpzqh+Scmb6Il/P3xBSRg4Jiw2jV2wmZIM&#10;YGPpxvnWDTUmJuhw8WG5nL9fcCausQqaa6IPMX1WaFn+abmhmgsxnLYx5UKguULyPQ4ftDGl2cax&#10;oeWzxbyuS0ZEo2WOZlwMh/3GBHaCPC/lK7Io8hoW8OhkYesVyE9OslQ8cDTjPNNHy5lR9CLop+AS&#10;aPN3HFVt3MXFbNxzC/Yoz7uQRWVDaRCKvMvQ5kl7vS+ol6e1/gkAAP//AwBQSwMEFAAGAAgAAAAh&#10;APpl5SXcAAAACQEAAA8AAABkcnMvZG93bnJldi54bWxMjz1PwzAQhnck/oN1SGyt3SDaKI1TIRBs&#10;DBRQ1c2NjyQiPke204b+eg4xwHj3Pno/ys3kenHEEDtPGhZzBQKp9rajRsPb6+MsBxGTIWt6T6jh&#10;CyNsqsuL0hTWn+gFj9vUCDahWBgNbUpDIWWsW3Qmzv2AxNqHD84kPkMjbTAnNne9zJRaSmc64oTW&#10;DHjfYv25HR2HdKR2avEUxv3qvK+f3x9sys5aX19Nd2sQCaf0B8NPfa4OFXc6+JFsFL2GWba6ZZSF&#10;mwwEA3muliAOvw9ZlfL/guobAAD//wMAUEsBAi0AFAAGAAgAAAAhALaDOJL+AAAA4QEAABMAAAAA&#10;AAAAAAAAAAAAAAAAAFtDb250ZW50X1R5cGVzXS54bWxQSwECLQAUAAYACAAAACEAOP0h/9YAAACU&#10;AQAACwAAAAAAAAAAAAAAAAAvAQAAX3JlbHMvLnJlbHNQSwECLQAUAAYACAAAACEAq0wORtQBAACi&#10;AwAADgAAAAAAAAAAAAAAAAAuAgAAZHJzL2Uyb0RvYy54bWxQSwECLQAUAAYACAAAACEA+mXlJdwA&#10;AAAJAQAADwAAAAAAAAAAAAAAAAAuBAAAZHJzL2Rvd25yZXYueG1sUEsFBgAAAAAEAAQA8wAAADcF&#10;AAAAAA==&#10;" o:allowincell="f" strokeweight="2pt">
              <v:stroke startarrowwidth="narrow" startarrowlength="short" endarrowwidth="narrow" endarrowlength="short"/>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D2C"/>
    <w:rsid w:val="00021787"/>
    <w:rsid w:val="00042534"/>
    <w:rsid w:val="000727AE"/>
    <w:rsid w:val="000A7656"/>
    <w:rsid w:val="001344E2"/>
    <w:rsid w:val="001348E1"/>
    <w:rsid w:val="00135B9E"/>
    <w:rsid w:val="001443E4"/>
    <w:rsid w:val="00146D76"/>
    <w:rsid w:val="00147FC5"/>
    <w:rsid w:val="00166936"/>
    <w:rsid w:val="00184B5E"/>
    <w:rsid w:val="001A3F4B"/>
    <w:rsid w:val="001E5006"/>
    <w:rsid w:val="00222314"/>
    <w:rsid w:val="00237D07"/>
    <w:rsid w:val="00256536"/>
    <w:rsid w:val="00265257"/>
    <w:rsid w:val="00270C8C"/>
    <w:rsid w:val="002B1484"/>
    <w:rsid w:val="002C1A17"/>
    <w:rsid w:val="002D462A"/>
    <w:rsid w:val="002E009D"/>
    <w:rsid w:val="002F48E2"/>
    <w:rsid w:val="0035581F"/>
    <w:rsid w:val="00381CE9"/>
    <w:rsid w:val="00382620"/>
    <w:rsid w:val="003C3ED2"/>
    <w:rsid w:val="003C575D"/>
    <w:rsid w:val="004036E1"/>
    <w:rsid w:val="00412FC7"/>
    <w:rsid w:val="00424D06"/>
    <w:rsid w:val="00425F05"/>
    <w:rsid w:val="004427EA"/>
    <w:rsid w:val="004447ED"/>
    <w:rsid w:val="004673B6"/>
    <w:rsid w:val="004704DE"/>
    <w:rsid w:val="004722F7"/>
    <w:rsid w:val="00483511"/>
    <w:rsid w:val="004B62B4"/>
    <w:rsid w:val="00504355"/>
    <w:rsid w:val="00511727"/>
    <w:rsid w:val="00514D67"/>
    <w:rsid w:val="00514E38"/>
    <w:rsid w:val="00522195"/>
    <w:rsid w:val="00576E6E"/>
    <w:rsid w:val="005770CD"/>
    <w:rsid w:val="00584F9F"/>
    <w:rsid w:val="005B0C19"/>
    <w:rsid w:val="005B45BF"/>
    <w:rsid w:val="005C0EEF"/>
    <w:rsid w:val="00617FC1"/>
    <w:rsid w:val="00623A9A"/>
    <w:rsid w:val="00627C1E"/>
    <w:rsid w:val="006457A3"/>
    <w:rsid w:val="006472F9"/>
    <w:rsid w:val="006656C3"/>
    <w:rsid w:val="006700FC"/>
    <w:rsid w:val="006E4CA9"/>
    <w:rsid w:val="00727D28"/>
    <w:rsid w:val="007345AA"/>
    <w:rsid w:val="00750DB1"/>
    <w:rsid w:val="007A4B22"/>
    <w:rsid w:val="007B448B"/>
    <w:rsid w:val="007D6ECA"/>
    <w:rsid w:val="007F1C1C"/>
    <w:rsid w:val="00837F48"/>
    <w:rsid w:val="00871D3B"/>
    <w:rsid w:val="0087341A"/>
    <w:rsid w:val="008771CD"/>
    <w:rsid w:val="008852BB"/>
    <w:rsid w:val="00887701"/>
    <w:rsid w:val="00893330"/>
    <w:rsid w:val="00904152"/>
    <w:rsid w:val="00911EF1"/>
    <w:rsid w:val="009448C3"/>
    <w:rsid w:val="009739A7"/>
    <w:rsid w:val="009752A9"/>
    <w:rsid w:val="00983F64"/>
    <w:rsid w:val="009A72F0"/>
    <w:rsid w:val="009C4C2E"/>
    <w:rsid w:val="009F0931"/>
    <w:rsid w:val="00A00A50"/>
    <w:rsid w:val="00A13B29"/>
    <w:rsid w:val="00A141D8"/>
    <w:rsid w:val="00A771DC"/>
    <w:rsid w:val="00A83529"/>
    <w:rsid w:val="00A91A2A"/>
    <w:rsid w:val="00A94E0C"/>
    <w:rsid w:val="00A96D2C"/>
    <w:rsid w:val="00AA64E6"/>
    <w:rsid w:val="00AA676B"/>
    <w:rsid w:val="00AB3F35"/>
    <w:rsid w:val="00AE11F6"/>
    <w:rsid w:val="00AE2AAA"/>
    <w:rsid w:val="00AF4578"/>
    <w:rsid w:val="00B213B4"/>
    <w:rsid w:val="00B86413"/>
    <w:rsid w:val="00BA1C1C"/>
    <w:rsid w:val="00BA1E5F"/>
    <w:rsid w:val="00BB19C7"/>
    <w:rsid w:val="00BB55C0"/>
    <w:rsid w:val="00BD361F"/>
    <w:rsid w:val="00C370F4"/>
    <w:rsid w:val="00C54A96"/>
    <w:rsid w:val="00C92001"/>
    <w:rsid w:val="00CB2EF2"/>
    <w:rsid w:val="00CB47E4"/>
    <w:rsid w:val="00CB482D"/>
    <w:rsid w:val="00CE7267"/>
    <w:rsid w:val="00CF1655"/>
    <w:rsid w:val="00D0470F"/>
    <w:rsid w:val="00D161DD"/>
    <w:rsid w:val="00D50871"/>
    <w:rsid w:val="00DC1E6E"/>
    <w:rsid w:val="00DD6F0D"/>
    <w:rsid w:val="00E1444D"/>
    <w:rsid w:val="00E417D2"/>
    <w:rsid w:val="00E4736E"/>
    <w:rsid w:val="00E7571D"/>
    <w:rsid w:val="00EA7797"/>
    <w:rsid w:val="00F029CD"/>
    <w:rsid w:val="00F1119D"/>
    <w:rsid w:val="00F20C2B"/>
    <w:rsid w:val="00F23CFF"/>
    <w:rsid w:val="00F37A8D"/>
    <w:rsid w:val="00F71089"/>
    <w:rsid w:val="00F73BDE"/>
    <w:rsid w:val="00F842CF"/>
    <w:rsid w:val="00F91153"/>
    <w:rsid w:val="00FD75C5"/>
    <w:rsid w:val="00FE3A15"/>
    <w:rsid w:val="00FF02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13D9DDB2"/>
  <w15:chartTrackingRefBased/>
  <w15:docId w15:val="{0D489669-10DD-4301-A968-71E7F976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A96D2C"/>
    <w:rPr>
      <w:rFonts w:ascii="RimTimes" w:hAnsi="RimTimes"/>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rsid w:val="00A96D2C"/>
    <w:pPr>
      <w:tabs>
        <w:tab w:val="center" w:pos="4320"/>
        <w:tab w:val="right" w:pos="8640"/>
      </w:tabs>
    </w:pPr>
  </w:style>
  <w:style w:type="paragraph" w:styleId="Galvene">
    <w:name w:val="header"/>
    <w:basedOn w:val="Parasts"/>
    <w:rsid w:val="00A96D2C"/>
    <w:pPr>
      <w:tabs>
        <w:tab w:val="center" w:pos="4320"/>
        <w:tab w:val="right" w:pos="8640"/>
      </w:tabs>
    </w:pPr>
  </w:style>
  <w:style w:type="character" w:styleId="Lappusesnumurs">
    <w:name w:val="page number"/>
    <w:basedOn w:val="Noklusjumarindkopasfonts"/>
    <w:rsid w:val="00A96D2C"/>
  </w:style>
  <w:style w:type="character" w:styleId="Hipersaite">
    <w:name w:val="Hyperlink"/>
    <w:rsid w:val="00A96D2C"/>
    <w:rPr>
      <w:color w:val="0000FF"/>
      <w:u w:val="single"/>
    </w:rPr>
  </w:style>
  <w:style w:type="paragraph" w:styleId="Balonteksts">
    <w:name w:val="Balloon Text"/>
    <w:basedOn w:val="Parasts"/>
    <w:semiHidden/>
    <w:rsid w:val="006656C3"/>
    <w:rPr>
      <w:rFonts w:ascii="Tahoma" w:hAnsi="Tahoma" w:cs="Tahoma"/>
      <w:sz w:val="16"/>
      <w:szCs w:val="16"/>
    </w:rPr>
  </w:style>
  <w:style w:type="table" w:styleId="Reatabula">
    <w:name w:val="Table Grid"/>
    <w:basedOn w:val="Parastatabula"/>
    <w:rsid w:val="007D6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rsid w:val="00BD361F"/>
    <w:rPr>
      <w:rFonts w:ascii="Verdana" w:hAnsi="Verdana" w:hint="default"/>
      <w:color w:val="000000"/>
      <w:sz w:val="14"/>
      <w:szCs w:val="14"/>
    </w:rPr>
  </w:style>
  <w:style w:type="paragraph" w:styleId="Sarakstarindkopa">
    <w:name w:val="List Paragraph"/>
    <w:basedOn w:val="Parasts"/>
    <w:uiPriority w:val="34"/>
    <w:qFormat/>
    <w:rsid w:val="001443E4"/>
    <w:pPr>
      <w:ind w:left="720"/>
    </w:pPr>
    <w:rPr>
      <w:rFonts w:ascii="Calibri" w:eastAsiaTheme="minorHAnsi" w:hAnsi="Calibri" w:cs="Calibri"/>
      <w:sz w:val="22"/>
      <w:szCs w:val="2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892614">
      <w:bodyDiv w:val="1"/>
      <w:marLeft w:val="0"/>
      <w:marRight w:val="0"/>
      <w:marTop w:val="0"/>
      <w:marBottom w:val="0"/>
      <w:divBdr>
        <w:top w:val="none" w:sz="0" w:space="0" w:color="auto"/>
        <w:left w:val="none" w:sz="0" w:space="0" w:color="auto"/>
        <w:bottom w:val="none" w:sz="0" w:space="0" w:color="auto"/>
        <w:right w:val="none" w:sz="0" w:space="0" w:color="auto"/>
      </w:divBdr>
    </w:div>
    <w:div w:id="489103006">
      <w:bodyDiv w:val="1"/>
      <w:marLeft w:val="0"/>
      <w:marRight w:val="0"/>
      <w:marTop w:val="0"/>
      <w:marBottom w:val="0"/>
      <w:divBdr>
        <w:top w:val="none" w:sz="0" w:space="0" w:color="auto"/>
        <w:left w:val="none" w:sz="0" w:space="0" w:color="auto"/>
        <w:bottom w:val="none" w:sz="0" w:space="0" w:color="auto"/>
        <w:right w:val="none" w:sz="0" w:space="0" w:color="auto"/>
      </w:divBdr>
    </w:div>
    <w:div w:id="710037334">
      <w:bodyDiv w:val="1"/>
      <w:marLeft w:val="0"/>
      <w:marRight w:val="0"/>
      <w:marTop w:val="0"/>
      <w:marBottom w:val="0"/>
      <w:divBdr>
        <w:top w:val="none" w:sz="0" w:space="0" w:color="auto"/>
        <w:left w:val="none" w:sz="0" w:space="0" w:color="auto"/>
        <w:bottom w:val="none" w:sz="0" w:space="0" w:color="auto"/>
        <w:right w:val="none" w:sz="0" w:space="0" w:color="auto"/>
      </w:divBdr>
    </w:div>
    <w:div w:id="759760615">
      <w:bodyDiv w:val="1"/>
      <w:marLeft w:val="0"/>
      <w:marRight w:val="0"/>
      <w:marTop w:val="0"/>
      <w:marBottom w:val="0"/>
      <w:divBdr>
        <w:top w:val="none" w:sz="0" w:space="0" w:color="auto"/>
        <w:left w:val="none" w:sz="0" w:space="0" w:color="auto"/>
        <w:bottom w:val="none" w:sz="0" w:space="0" w:color="auto"/>
        <w:right w:val="none" w:sz="0" w:space="0" w:color="auto"/>
      </w:divBdr>
    </w:div>
    <w:div w:id="975257452">
      <w:bodyDiv w:val="1"/>
      <w:marLeft w:val="0"/>
      <w:marRight w:val="0"/>
      <w:marTop w:val="0"/>
      <w:marBottom w:val="0"/>
      <w:divBdr>
        <w:top w:val="none" w:sz="0" w:space="0" w:color="auto"/>
        <w:left w:val="none" w:sz="0" w:space="0" w:color="auto"/>
        <w:bottom w:val="none" w:sz="0" w:space="0" w:color="auto"/>
        <w:right w:val="none" w:sz="0" w:space="0" w:color="auto"/>
      </w:divBdr>
    </w:div>
    <w:div w:id="1328173387">
      <w:bodyDiv w:val="1"/>
      <w:marLeft w:val="0"/>
      <w:marRight w:val="0"/>
      <w:marTop w:val="0"/>
      <w:marBottom w:val="0"/>
      <w:divBdr>
        <w:top w:val="none" w:sz="0" w:space="0" w:color="auto"/>
        <w:left w:val="none" w:sz="0" w:space="0" w:color="auto"/>
        <w:bottom w:val="none" w:sz="0" w:space="0" w:color="auto"/>
        <w:right w:val="none" w:sz="0" w:space="0" w:color="auto"/>
      </w:divBdr>
    </w:div>
    <w:div w:id="1360201798">
      <w:bodyDiv w:val="1"/>
      <w:marLeft w:val="0"/>
      <w:marRight w:val="0"/>
      <w:marTop w:val="0"/>
      <w:marBottom w:val="0"/>
      <w:divBdr>
        <w:top w:val="none" w:sz="0" w:space="0" w:color="auto"/>
        <w:left w:val="none" w:sz="0" w:space="0" w:color="auto"/>
        <w:bottom w:val="none" w:sz="0" w:space="0" w:color="auto"/>
        <w:right w:val="none" w:sz="0" w:space="0" w:color="auto"/>
      </w:divBdr>
    </w:div>
    <w:div w:id="1550341403">
      <w:bodyDiv w:val="1"/>
      <w:marLeft w:val="0"/>
      <w:marRight w:val="0"/>
      <w:marTop w:val="0"/>
      <w:marBottom w:val="0"/>
      <w:divBdr>
        <w:top w:val="none" w:sz="0" w:space="0" w:color="auto"/>
        <w:left w:val="none" w:sz="0" w:space="0" w:color="auto"/>
        <w:bottom w:val="none" w:sz="0" w:space="0" w:color="auto"/>
        <w:right w:val="none" w:sz="0" w:space="0" w:color="auto"/>
      </w:divBdr>
    </w:div>
    <w:div w:id="1785684179">
      <w:bodyDiv w:val="1"/>
      <w:marLeft w:val="0"/>
      <w:marRight w:val="0"/>
      <w:marTop w:val="0"/>
      <w:marBottom w:val="0"/>
      <w:divBdr>
        <w:top w:val="none" w:sz="0" w:space="0" w:color="auto"/>
        <w:left w:val="none" w:sz="0" w:space="0" w:color="auto"/>
        <w:bottom w:val="none" w:sz="0" w:space="0" w:color="auto"/>
        <w:right w:val="none" w:sz="0" w:space="0" w:color="auto"/>
      </w:divBdr>
    </w:div>
    <w:div w:id="1914504857">
      <w:bodyDiv w:val="1"/>
      <w:marLeft w:val="0"/>
      <w:marRight w:val="0"/>
      <w:marTop w:val="0"/>
      <w:marBottom w:val="0"/>
      <w:divBdr>
        <w:top w:val="none" w:sz="0" w:space="0" w:color="auto"/>
        <w:left w:val="none" w:sz="0" w:space="0" w:color="auto"/>
        <w:bottom w:val="none" w:sz="0" w:space="0" w:color="auto"/>
        <w:right w:val="none" w:sz="0" w:space="0" w:color="auto"/>
      </w:divBdr>
    </w:div>
    <w:div w:id="199545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http://www.lps.lv/" TargetMode="External"/><Relationship Id="rId2" Type="http://schemas.openxmlformats.org/officeDocument/2006/relationships/hyperlink" Target="mailto:lps@lps.l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2659</Words>
  <Characters>1517</Characters>
  <Application>Microsoft Office Word</Application>
  <DocSecurity>0</DocSecurity>
  <Lines>12</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LPS</Company>
  <LinksUpToDate>false</LinksUpToDate>
  <CharactersWithSpaces>4168</CharactersWithSpaces>
  <SharedDoc>false</SharedDoc>
  <HLinks>
    <vt:vector size="12" baseType="variant">
      <vt:variant>
        <vt:i4>7798904</vt:i4>
      </vt:variant>
      <vt:variant>
        <vt:i4>8</vt:i4>
      </vt:variant>
      <vt:variant>
        <vt:i4>0</vt:i4>
      </vt:variant>
      <vt:variant>
        <vt:i4>5</vt:i4>
      </vt:variant>
      <vt:variant>
        <vt:lpwstr>http://www.lps.lv/</vt:lpwstr>
      </vt:variant>
      <vt:variant>
        <vt:lpwstr/>
      </vt:variant>
      <vt:variant>
        <vt:i4>917540</vt:i4>
      </vt:variant>
      <vt:variant>
        <vt:i4>5</vt:i4>
      </vt:variant>
      <vt:variant>
        <vt:i4>0</vt:i4>
      </vt:variant>
      <vt:variant>
        <vt:i4>5</vt:i4>
      </vt:variant>
      <vt:variant>
        <vt:lpwstr>mailto:lps@lps.lv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atzinums</dc:subject>
  <dc:creator>Steini</dc:creator>
  <cp:keywords/>
  <dc:description/>
  <cp:lastModifiedBy>Ingrīda Igaune</cp:lastModifiedBy>
  <cp:revision>2</cp:revision>
  <cp:lastPrinted>2006-11-20T11:43:00Z</cp:lastPrinted>
  <dcterms:created xsi:type="dcterms:W3CDTF">2021-06-07T13:44:00Z</dcterms:created>
  <dcterms:modified xsi:type="dcterms:W3CDTF">2021-06-07T13:44:00Z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Quality_HeadChapter">
    <vt:lpwstr/>
  </property>
  <property fmtid="{D5CDD505-2E9C-101B-9397-08002B2CF9AE}" pid="3" name="OneQuality_Chapter">
    <vt:lpwstr/>
  </property>
  <property fmtid="{D5CDD505-2E9C-101B-9397-08002B2CF9AE}" pid="4" name="One_Subject">
    <vt:lpwstr>Atzinums_NEsaskaÅots.doc</vt:lpwstr>
  </property>
  <property fmtid="{D5CDD505-2E9C-101B-9397-08002B2CF9AE}" pid="5" name="One_Number">
    <vt:lpwstr/>
  </property>
  <property fmtid="{D5CDD505-2E9C-101B-9397-08002B2CF9AE}" pid="6" name="One_Employee">
    <vt:lpwstr/>
  </property>
  <property fmtid="{D5CDD505-2E9C-101B-9397-08002B2CF9AE}" pid="7" name="One_Status">
    <vt:lpwstr/>
  </property>
  <property fmtid="{D5CDD505-2E9C-101B-9397-08002B2CF9AE}" pid="8" name="One_FileVersion">
    <vt:lpwstr>1.13</vt:lpwstr>
  </property>
  <property fmtid="{D5CDD505-2E9C-101B-9397-08002B2CF9AE}" pid="9" name="One_FileComment">
    <vt:lpwstr/>
  </property>
  <property fmtid="{D5CDD505-2E9C-101B-9397-08002B2CF9AE}" pid="10" name="One_Author">
    <vt:lpwstr>Nav NosÅ«tÄ«tÄja</vt:lpwstr>
  </property>
  <property fmtid="{D5CDD505-2E9C-101B-9397-08002B2CF9AE}" pid="11" name="One_PublishDate">
    <vt:lpwstr/>
  </property>
  <property fmtid="{D5CDD505-2E9C-101B-9397-08002B2CF9AE}" pid="12" name="OneQuality_Handbooks">
    <vt:lpwstr/>
  </property>
  <property fmtid="{D5CDD505-2E9C-101B-9397-08002B2CF9AE}" pid="13" name="OneQuality_Processes">
    <vt:lpwstr/>
  </property>
  <property fmtid="{D5CDD505-2E9C-101B-9397-08002B2CF9AE}" pid="14" name="OneQuality_QualityItemType">
    <vt:lpwstr/>
  </property>
  <property fmtid="{D5CDD505-2E9C-101B-9397-08002B2CF9AE}" pid="15" name="OneQuality_ReviewSettings">
    <vt:lpwstr/>
  </property>
</Properties>
</file>